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143" w:rsidRPr="000770B2" w:rsidRDefault="00FE3152" w:rsidP="00ED53C1">
      <w:pPr>
        <w:spacing w:after="0" w:line="240" w:lineRule="auto"/>
        <w:jc w:val="center"/>
        <w:rPr>
          <w:rFonts w:ascii="Verdana" w:hAnsi="Verdana"/>
          <w:b/>
          <w:sz w:val="28"/>
          <w:szCs w:val="28"/>
          <w:lang w:val="el-GR"/>
        </w:rPr>
      </w:pPr>
      <w:bookmarkStart w:id="0" w:name="_GoBack"/>
      <w:bookmarkEnd w:id="0"/>
      <w:r>
        <w:rPr>
          <w:rFonts w:ascii="Verdana" w:hAnsi="Verdana"/>
          <w:b/>
          <w:sz w:val="28"/>
          <w:szCs w:val="28"/>
          <w:lang w:val="el-GR"/>
        </w:rPr>
        <w:t>Συνοπτικός</w:t>
      </w:r>
      <w:r w:rsidR="000A3143" w:rsidRPr="000770B2">
        <w:rPr>
          <w:rFonts w:ascii="Verdana" w:hAnsi="Verdana"/>
          <w:b/>
          <w:sz w:val="28"/>
          <w:szCs w:val="28"/>
          <w:lang w:val="el-GR"/>
        </w:rPr>
        <w:t xml:space="preserve"> κατάλογος των τροποποιήσεων </w:t>
      </w:r>
    </w:p>
    <w:p w:rsidR="005B6E5E" w:rsidRPr="000770B2" w:rsidRDefault="00FB07AE" w:rsidP="00ED53C1">
      <w:pPr>
        <w:spacing w:after="0" w:line="240" w:lineRule="auto"/>
        <w:jc w:val="center"/>
        <w:rPr>
          <w:rFonts w:ascii="Verdana" w:hAnsi="Verdana"/>
          <w:b/>
          <w:sz w:val="28"/>
          <w:szCs w:val="28"/>
          <w:lang w:val="el-GR"/>
        </w:rPr>
      </w:pPr>
      <w:r w:rsidRPr="000770B2">
        <w:rPr>
          <w:rFonts w:ascii="Verdana" w:hAnsi="Verdana"/>
          <w:b/>
          <w:sz w:val="28"/>
          <w:szCs w:val="28"/>
          <w:lang w:val="el-GR"/>
        </w:rPr>
        <w:t>περί Εταιρειών</w:t>
      </w:r>
      <w:r w:rsidR="00E5280A" w:rsidRPr="000770B2">
        <w:rPr>
          <w:rFonts w:ascii="Verdana" w:hAnsi="Verdana"/>
          <w:b/>
          <w:sz w:val="28"/>
          <w:szCs w:val="28"/>
          <w:lang w:val="el-GR"/>
        </w:rPr>
        <w:t xml:space="preserve"> </w:t>
      </w:r>
      <w:r w:rsidR="00DD01AD" w:rsidRPr="000770B2">
        <w:rPr>
          <w:rFonts w:ascii="Verdana" w:hAnsi="Verdana"/>
          <w:b/>
          <w:sz w:val="28"/>
          <w:szCs w:val="28"/>
          <w:lang w:val="el-GR"/>
        </w:rPr>
        <w:t>(Τροποποιητικό</w:t>
      </w:r>
      <w:r w:rsidR="008C79C5" w:rsidRPr="000770B2">
        <w:rPr>
          <w:rFonts w:ascii="Verdana" w:hAnsi="Verdana"/>
          <w:b/>
          <w:sz w:val="28"/>
          <w:szCs w:val="28"/>
          <w:lang w:val="el-GR"/>
        </w:rPr>
        <w:t>ς</w:t>
      </w:r>
      <w:r w:rsidR="00DD01AD" w:rsidRPr="000770B2">
        <w:rPr>
          <w:rFonts w:ascii="Verdana" w:hAnsi="Verdana"/>
          <w:b/>
          <w:sz w:val="28"/>
          <w:szCs w:val="28"/>
          <w:lang w:val="el-GR"/>
        </w:rPr>
        <w:t xml:space="preserve">) (Αρ. </w:t>
      </w:r>
      <w:r w:rsidR="008860EB" w:rsidRPr="000770B2">
        <w:rPr>
          <w:rFonts w:ascii="Verdana" w:hAnsi="Verdana"/>
          <w:b/>
          <w:sz w:val="28"/>
          <w:szCs w:val="28"/>
          <w:lang w:val="el-GR"/>
        </w:rPr>
        <w:t>3</w:t>
      </w:r>
      <w:r w:rsidR="00DD01AD" w:rsidRPr="000770B2">
        <w:rPr>
          <w:rFonts w:ascii="Verdana" w:hAnsi="Verdana"/>
          <w:b/>
          <w:sz w:val="28"/>
          <w:szCs w:val="28"/>
          <w:lang w:val="el-GR"/>
        </w:rPr>
        <w:t>) Νόμο</w:t>
      </w:r>
      <w:r w:rsidR="008C79C5" w:rsidRPr="000770B2">
        <w:rPr>
          <w:rFonts w:ascii="Verdana" w:hAnsi="Verdana"/>
          <w:b/>
          <w:sz w:val="28"/>
          <w:szCs w:val="28"/>
          <w:lang w:val="el-GR"/>
        </w:rPr>
        <w:t>ς</w:t>
      </w:r>
      <w:r w:rsidR="00DD01AD" w:rsidRPr="000770B2">
        <w:rPr>
          <w:rFonts w:ascii="Verdana" w:hAnsi="Verdana"/>
          <w:b/>
          <w:sz w:val="28"/>
          <w:szCs w:val="28"/>
          <w:lang w:val="el-GR"/>
        </w:rPr>
        <w:t xml:space="preserve"> του 2018</w:t>
      </w:r>
    </w:p>
    <w:p w:rsidR="00ED53C1" w:rsidRPr="000770B2" w:rsidRDefault="00ED53C1" w:rsidP="00374371">
      <w:pPr>
        <w:spacing w:after="0" w:line="240" w:lineRule="auto"/>
        <w:rPr>
          <w:rFonts w:ascii="Verdana" w:hAnsi="Verdana"/>
          <w:lang w:val="el-GR"/>
        </w:rPr>
      </w:pPr>
    </w:p>
    <w:tbl>
      <w:tblPr>
        <w:tblStyle w:val="TableGrid"/>
        <w:tblW w:w="13878" w:type="dxa"/>
        <w:tblLook w:val="04A0"/>
      </w:tblPr>
      <w:tblGrid>
        <w:gridCol w:w="2125"/>
        <w:gridCol w:w="11753"/>
      </w:tblGrid>
      <w:tr w:rsidR="00FF6DD8" w:rsidRPr="000770B2" w:rsidTr="00F42364">
        <w:tc>
          <w:tcPr>
            <w:tcW w:w="2125" w:type="dxa"/>
            <w:shd w:val="clear" w:color="auto" w:fill="BFBFBF" w:themeFill="background1" w:themeFillShade="BF"/>
            <w:vAlign w:val="center"/>
          </w:tcPr>
          <w:p w:rsidR="00FF6DD8" w:rsidRPr="000770B2" w:rsidRDefault="00FF6DD8" w:rsidP="00FB07AE">
            <w:pPr>
              <w:jc w:val="center"/>
              <w:rPr>
                <w:rFonts w:ascii="Verdana" w:hAnsi="Verdana"/>
                <w:b/>
                <w:lang w:val="el-GR"/>
              </w:rPr>
            </w:pPr>
            <w:r w:rsidRPr="000770B2">
              <w:rPr>
                <w:rFonts w:ascii="Verdana" w:hAnsi="Verdana"/>
                <w:b/>
                <w:lang w:val="el-GR"/>
              </w:rPr>
              <w:t>Τροποποιητικό Άρθρο</w:t>
            </w:r>
          </w:p>
        </w:tc>
        <w:tc>
          <w:tcPr>
            <w:tcW w:w="11753" w:type="dxa"/>
            <w:shd w:val="clear" w:color="auto" w:fill="BFBFBF" w:themeFill="background1" w:themeFillShade="BF"/>
            <w:vAlign w:val="center"/>
          </w:tcPr>
          <w:p w:rsidR="00FF6DD8" w:rsidRPr="000770B2" w:rsidRDefault="00FF6DD8" w:rsidP="00FB07AE">
            <w:pPr>
              <w:jc w:val="center"/>
              <w:rPr>
                <w:rFonts w:ascii="Verdana" w:hAnsi="Verdana"/>
                <w:b/>
                <w:lang w:val="el-GR"/>
              </w:rPr>
            </w:pPr>
            <w:r w:rsidRPr="000770B2">
              <w:rPr>
                <w:rFonts w:ascii="Verdana" w:hAnsi="Verdana"/>
                <w:b/>
                <w:lang w:val="el-GR"/>
              </w:rPr>
              <w:t>Περιγραφή</w:t>
            </w:r>
          </w:p>
        </w:tc>
      </w:tr>
      <w:tr w:rsidR="00FF6DD8" w:rsidRPr="00FE3152" w:rsidTr="00F42364">
        <w:tc>
          <w:tcPr>
            <w:tcW w:w="2125" w:type="dxa"/>
          </w:tcPr>
          <w:p w:rsidR="00FF6DD8" w:rsidRPr="000770B2" w:rsidRDefault="00FF6DD8" w:rsidP="00374371">
            <w:pPr>
              <w:rPr>
                <w:rFonts w:ascii="Verdana" w:hAnsi="Verdana"/>
                <w:lang w:val="el-GR"/>
              </w:rPr>
            </w:pPr>
            <w:r w:rsidRPr="000770B2">
              <w:rPr>
                <w:rFonts w:ascii="Verdana" w:hAnsi="Verdana"/>
                <w:lang w:val="el-GR"/>
              </w:rPr>
              <w:t>Άρθρο 2</w:t>
            </w:r>
          </w:p>
        </w:tc>
        <w:tc>
          <w:tcPr>
            <w:tcW w:w="11753" w:type="dxa"/>
          </w:tcPr>
          <w:p w:rsidR="00FF6DD8" w:rsidRPr="000770B2" w:rsidRDefault="00FF6DD8" w:rsidP="00347950">
            <w:pPr>
              <w:jc w:val="both"/>
              <w:rPr>
                <w:rFonts w:ascii="Verdana" w:hAnsi="Verdana"/>
                <w:lang w:val="el-GR"/>
              </w:rPr>
            </w:pPr>
            <w:r w:rsidRPr="000770B2">
              <w:rPr>
                <w:rFonts w:ascii="Verdana" w:hAnsi="Verdana"/>
                <w:lang w:val="el-GR"/>
              </w:rPr>
              <w:t>(α) Προσθήκη των όρων «διαχειριστής» και «μητρώο επιβαρύνσεων», καθώς και των ορισμών τους.</w:t>
            </w:r>
          </w:p>
          <w:p w:rsidR="00FF6DD8" w:rsidRPr="000770B2" w:rsidRDefault="00FF6DD8" w:rsidP="00347950">
            <w:pPr>
              <w:jc w:val="both"/>
              <w:rPr>
                <w:rFonts w:ascii="Verdana" w:hAnsi="Verdana"/>
                <w:lang w:val="el-GR"/>
              </w:rPr>
            </w:pPr>
            <w:r w:rsidRPr="000770B2">
              <w:rPr>
                <w:rFonts w:ascii="Verdana" w:hAnsi="Verdana"/>
                <w:lang w:val="el-GR"/>
              </w:rPr>
              <w:t xml:space="preserve">(β) Θεσμοθέτηση καθορισμένου τύπου για το διορισμό εξουσιοδοτημένου αντιπροσώπου. </w:t>
            </w:r>
          </w:p>
        </w:tc>
      </w:tr>
      <w:tr w:rsidR="00FF6DD8" w:rsidRPr="00FE3152" w:rsidTr="00F42364">
        <w:tc>
          <w:tcPr>
            <w:tcW w:w="2125" w:type="dxa"/>
          </w:tcPr>
          <w:p w:rsidR="00FF6DD8" w:rsidRPr="000770B2" w:rsidRDefault="00FF6DD8" w:rsidP="00374371">
            <w:pPr>
              <w:rPr>
                <w:rFonts w:ascii="Verdana" w:hAnsi="Verdana"/>
                <w:lang w:val="el-GR"/>
              </w:rPr>
            </w:pPr>
            <w:r w:rsidRPr="000770B2">
              <w:rPr>
                <w:rFonts w:ascii="Verdana" w:hAnsi="Verdana"/>
                <w:lang w:val="el-GR"/>
              </w:rPr>
              <w:t>Άρθρο 3</w:t>
            </w:r>
          </w:p>
        </w:tc>
        <w:tc>
          <w:tcPr>
            <w:tcW w:w="11753" w:type="dxa"/>
          </w:tcPr>
          <w:p w:rsidR="00FF6DD8" w:rsidRPr="000770B2" w:rsidRDefault="00FF6DD8" w:rsidP="009C117C">
            <w:pPr>
              <w:jc w:val="both"/>
              <w:rPr>
                <w:rFonts w:ascii="Verdana" w:hAnsi="Verdana"/>
                <w:lang w:val="el-GR"/>
              </w:rPr>
            </w:pPr>
            <w:r w:rsidRPr="000770B2">
              <w:rPr>
                <w:rFonts w:ascii="Verdana" w:hAnsi="Verdana"/>
                <w:lang w:val="el-GR"/>
              </w:rPr>
              <w:t xml:space="preserve">Κατάργηση τέλους χαρτοσήμανσης επί του ονομαστικού κεφαλαίου της εταιρείας και της υποχρέωσης χαρτοσήμανσης του ιδρυτικού εγγράφου/αίτηση εγγραφής εταιρείας. </w:t>
            </w:r>
          </w:p>
        </w:tc>
      </w:tr>
      <w:tr w:rsidR="00FF6DD8" w:rsidRPr="00FE3152" w:rsidTr="00F42364">
        <w:tc>
          <w:tcPr>
            <w:tcW w:w="2125" w:type="dxa"/>
          </w:tcPr>
          <w:p w:rsidR="00FF6DD8" w:rsidRPr="000770B2" w:rsidRDefault="00FF6DD8" w:rsidP="00374371">
            <w:pPr>
              <w:rPr>
                <w:rFonts w:ascii="Verdana" w:hAnsi="Verdana"/>
                <w:lang w:val="el-GR"/>
              </w:rPr>
            </w:pPr>
            <w:r w:rsidRPr="000770B2">
              <w:rPr>
                <w:rFonts w:ascii="Verdana" w:hAnsi="Verdana"/>
                <w:lang w:val="el-GR"/>
              </w:rPr>
              <w:t>Άρθρο 4</w:t>
            </w:r>
          </w:p>
        </w:tc>
        <w:tc>
          <w:tcPr>
            <w:tcW w:w="11753" w:type="dxa"/>
          </w:tcPr>
          <w:p w:rsidR="00FF6DD8" w:rsidRPr="000770B2" w:rsidRDefault="00FF6DD8" w:rsidP="00F55A54">
            <w:pPr>
              <w:jc w:val="both"/>
              <w:rPr>
                <w:rFonts w:ascii="Verdana" w:hAnsi="Verdana"/>
                <w:lang w:val="el-GR"/>
              </w:rPr>
            </w:pPr>
            <w:r w:rsidRPr="000770B2">
              <w:rPr>
                <w:rFonts w:ascii="Verdana" w:hAnsi="Verdana"/>
                <w:lang w:val="el-GR"/>
              </w:rPr>
              <w:t xml:space="preserve">Διευκρινιστική αλλαγή για κοινοποίηση σε τύπο ο οποίος είναι καθορισμένος (ΗΕ15). </w:t>
            </w:r>
          </w:p>
        </w:tc>
      </w:tr>
      <w:tr w:rsidR="00FF6DD8" w:rsidRPr="00FE3152" w:rsidTr="00F42364">
        <w:tc>
          <w:tcPr>
            <w:tcW w:w="2125" w:type="dxa"/>
          </w:tcPr>
          <w:p w:rsidR="00FF6DD8" w:rsidRPr="000770B2" w:rsidRDefault="00FF6DD8" w:rsidP="00374371">
            <w:pPr>
              <w:rPr>
                <w:rFonts w:ascii="Verdana" w:hAnsi="Verdana"/>
                <w:lang w:val="el-GR"/>
              </w:rPr>
            </w:pPr>
            <w:r w:rsidRPr="000770B2">
              <w:rPr>
                <w:rFonts w:ascii="Verdana" w:hAnsi="Verdana"/>
                <w:lang w:val="el-GR"/>
              </w:rPr>
              <w:t>Άρθρο 5</w:t>
            </w:r>
          </w:p>
        </w:tc>
        <w:tc>
          <w:tcPr>
            <w:tcW w:w="11753" w:type="dxa"/>
          </w:tcPr>
          <w:p w:rsidR="00FF6DD8" w:rsidRPr="000770B2" w:rsidRDefault="00FF6DD8" w:rsidP="00F55A54">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(νέο έντυπο ΗΕ1).</w:t>
            </w:r>
          </w:p>
        </w:tc>
      </w:tr>
      <w:tr w:rsidR="00FF6DD8" w:rsidRPr="00FE3152" w:rsidTr="00F42364">
        <w:tc>
          <w:tcPr>
            <w:tcW w:w="2125" w:type="dxa"/>
          </w:tcPr>
          <w:p w:rsidR="00FF6DD8" w:rsidRPr="000770B2" w:rsidRDefault="00FF6DD8" w:rsidP="00374371">
            <w:pPr>
              <w:rPr>
                <w:rFonts w:ascii="Verdana" w:hAnsi="Verdana"/>
                <w:lang w:val="en-GB"/>
              </w:rPr>
            </w:pPr>
            <w:r w:rsidRPr="000770B2">
              <w:rPr>
                <w:rFonts w:ascii="Verdana" w:hAnsi="Verdana"/>
                <w:lang w:val="el-GR"/>
              </w:rPr>
              <w:t>Άρθρο 6</w:t>
            </w:r>
          </w:p>
        </w:tc>
        <w:tc>
          <w:tcPr>
            <w:tcW w:w="11753" w:type="dxa"/>
          </w:tcPr>
          <w:p w:rsidR="00FF6DD8" w:rsidRPr="000770B2" w:rsidRDefault="00FF6DD8" w:rsidP="00F55A54">
            <w:pPr>
              <w:jc w:val="both"/>
              <w:rPr>
                <w:rFonts w:ascii="Verdana" w:hAnsi="Verdana"/>
                <w:lang w:val="el-GR"/>
              </w:rPr>
            </w:pPr>
            <w:r w:rsidRPr="000770B2">
              <w:rPr>
                <w:rFonts w:ascii="Verdana" w:hAnsi="Verdana"/>
                <w:lang w:val="el-GR"/>
              </w:rPr>
              <w:t>Δημιουργία τύπου για αλλαγή ονόματος (ΗΕ65).</w:t>
            </w:r>
          </w:p>
        </w:tc>
      </w:tr>
      <w:tr w:rsidR="00FF6DD8" w:rsidRPr="00FE3152" w:rsidTr="00F42364">
        <w:tc>
          <w:tcPr>
            <w:tcW w:w="2125" w:type="dxa"/>
          </w:tcPr>
          <w:p w:rsidR="00FF6DD8" w:rsidRPr="000770B2" w:rsidRDefault="00FF6DD8" w:rsidP="00374371">
            <w:pPr>
              <w:rPr>
                <w:rFonts w:ascii="Verdana" w:hAnsi="Verdana"/>
                <w:lang w:val="el-GR"/>
              </w:rPr>
            </w:pPr>
            <w:r w:rsidRPr="000770B2">
              <w:rPr>
                <w:rFonts w:ascii="Verdana" w:hAnsi="Verdana"/>
                <w:lang w:val="el-GR"/>
              </w:rPr>
              <w:t>Άρθρο 7</w:t>
            </w:r>
          </w:p>
        </w:tc>
        <w:tc>
          <w:tcPr>
            <w:tcW w:w="11753" w:type="dxa"/>
          </w:tcPr>
          <w:p w:rsidR="00FF6DD8" w:rsidRPr="000770B2" w:rsidRDefault="00FF6DD8" w:rsidP="00347950">
            <w:pPr>
              <w:jc w:val="both"/>
              <w:rPr>
                <w:rFonts w:ascii="Verdana" w:hAnsi="Verdana"/>
                <w:lang w:val="el-GR"/>
              </w:rPr>
            </w:pPr>
            <w:r w:rsidRPr="000770B2">
              <w:rPr>
                <w:rFonts w:ascii="Verdana" w:hAnsi="Verdana"/>
                <w:lang w:val="el-GR"/>
              </w:rPr>
              <w:t>Δημιουργία τύπου για παράλειψη της λέξης “</w:t>
            </w:r>
            <w:proofErr w:type="spellStart"/>
            <w:r w:rsidRPr="000770B2">
              <w:rPr>
                <w:rFonts w:ascii="Verdana" w:hAnsi="Verdana"/>
                <w:lang w:val="el-GR"/>
              </w:rPr>
              <w:t>λίμιτεδ</w:t>
            </w:r>
            <w:proofErr w:type="spellEnd"/>
            <w:r w:rsidRPr="000770B2">
              <w:rPr>
                <w:rFonts w:ascii="Verdana" w:hAnsi="Verdana"/>
                <w:lang w:val="el-GR"/>
              </w:rPr>
              <w:t>” και απλοποίηση διαδικασίας μέσω ενοποίησης με την εγγραφή εταιρείας / αλλαγή ονόματος.</w:t>
            </w:r>
          </w:p>
        </w:tc>
      </w:tr>
      <w:tr w:rsidR="00FF6DD8" w:rsidRPr="00FE3152" w:rsidTr="00F42364">
        <w:tc>
          <w:tcPr>
            <w:tcW w:w="2125" w:type="dxa"/>
          </w:tcPr>
          <w:p w:rsidR="00FF6DD8" w:rsidRPr="000770B2" w:rsidRDefault="00FF6DD8" w:rsidP="00374371">
            <w:pPr>
              <w:rPr>
                <w:rFonts w:ascii="Verdana" w:hAnsi="Verdana"/>
                <w:lang w:val="el-GR"/>
              </w:rPr>
            </w:pPr>
            <w:r w:rsidRPr="000770B2">
              <w:rPr>
                <w:rFonts w:ascii="Verdana" w:hAnsi="Verdana"/>
                <w:lang w:val="el-GR"/>
              </w:rPr>
              <w:t>Άρθρο 8</w:t>
            </w:r>
          </w:p>
        </w:tc>
        <w:tc>
          <w:tcPr>
            <w:tcW w:w="11753" w:type="dxa"/>
          </w:tcPr>
          <w:p w:rsidR="00FF6DD8" w:rsidRPr="000770B2" w:rsidRDefault="00FF6DD8" w:rsidP="00347950">
            <w:pPr>
              <w:jc w:val="both"/>
              <w:rPr>
                <w:rFonts w:ascii="Verdana" w:hAnsi="Verdana"/>
                <w:lang w:val="el-GR"/>
              </w:rPr>
            </w:pPr>
            <w:r w:rsidRPr="000770B2">
              <w:rPr>
                <w:rFonts w:ascii="Verdana" w:hAnsi="Verdana"/>
                <w:lang w:val="el-GR"/>
              </w:rPr>
              <w:t>Διαγραφή της έκθεσης αντί τύπου για εγγραφής από το Μέρος Ι του Τρίτου Παραρτήματος (υφίσταται πλέον μόνο ως έντυπο ΗΕ7).</w:t>
            </w:r>
          </w:p>
        </w:tc>
      </w:tr>
      <w:tr w:rsidR="00FF6DD8" w:rsidRPr="00FE3152" w:rsidTr="00F42364">
        <w:tc>
          <w:tcPr>
            <w:tcW w:w="2125" w:type="dxa"/>
          </w:tcPr>
          <w:p w:rsidR="00FF6DD8" w:rsidRPr="000770B2" w:rsidRDefault="00FF6DD8" w:rsidP="00374371">
            <w:pPr>
              <w:rPr>
                <w:rFonts w:ascii="Verdana" w:hAnsi="Verdana"/>
                <w:lang w:val="el-GR"/>
              </w:rPr>
            </w:pPr>
            <w:r w:rsidRPr="000770B2">
              <w:rPr>
                <w:rFonts w:ascii="Verdana" w:hAnsi="Verdana"/>
                <w:lang w:val="el-GR"/>
              </w:rPr>
              <w:t>Άρθρο 9</w:t>
            </w:r>
          </w:p>
        </w:tc>
        <w:tc>
          <w:tcPr>
            <w:tcW w:w="11753" w:type="dxa"/>
          </w:tcPr>
          <w:p w:rsidR="00FF6DD8" w:rsidRPr="000770B2" w:rsidRDefault="00FF6DD8" w:rsidP="00F55A54">
            <w:pPr>
              <w:jc w:val="both"/>
              <w:rPr>
                <w:rFonts w:ascii="Verdana" w:hAnsi="Verdana"/>
                <w:lang w:val="el-GR"/>
              </w:rPr>
            </w:pPr>
            <w:r w:rsidRPr="000770B2">
              <w:rPr>
                <w:rFonts w:ascii="Verdana" w:hAnsi="Verdana"/>
                <w:lang w:val="el-GR"/>
              </w:rPr>
              <w:t xml:space="preserve">Τροποποίηση ώστε να αντικατοπτρίζεται η ενσωμάτωση της θέσμιας δήλωσης συμμόρφωσης στο έντυπο σύστασης εταιρείας (ΗΕ1). </w:t>
            </w:r>
          </w:p>
        </w:tc>
      </w:tr>
      <w:tr w:rsidR="00FF6DD8" w:rsidRPr="00FE3152" w:rsidTr="00F42364">
        <w:tc>
          <w:tcPr>
            <w:tcW w:w="2125" w:type="dxa"/>
          </w:tcPr>
          <w:p w:rsidR="00FF6DD8" w:rsidRPr="000770B2" w:rsidRDefault="00FF6DD8" w:rsidP="00374371">
            <w:pPr>
              <w:rPr>
                <w:rFonts w:ascii="Verdana" w:hAnsi="Verdana"/>
                <w:lang w:val="el-GR"/>
              </w:rPr>
            </w:pPr>
            <w:r w:rsidRPr="000770B2">
              <w:rPr>
                <w:rFonts w:ascii="Verdana" w:hAnsi="Verdana"/>
                <w:lang w:val="el-GR"/>
              </w:rPr>
              <w:t>Άρθρο 10</w:t>
            </w:r>
          </w:p>
        </w:tc>
        <w:tc>
          <w:tcPr>
            <w:tcW w:w="11753" w:type="dxa"/>
          </w:tcPr>
          <w:p w:rsidR="00FF6DD8" w:rsidRPr="000770B2" w:rsidRDefault="00FF6DD8" w:rsidP="00347950">
            <w:pPr>
              <w:jc w:val="both"/>
              <w:rPr>
                <w:rFonts w:ascii="Verdana" w:hAnsi="Verdana"/>
                <w:lang w:val="el-GR"/>
              </w:rPr>
            </w:pPr>
            <w:r w:rsidRPr="000770B2">
              <w:rPr>
                <w:rFonts w:ascii="Verdana" w:hAnsi="Verdana"/>
                <w:lang w:val="el-GR"/>
              </w:rPr>
              <w:t>Διαγραφή της έκθεσης αντί τύπου για εγγραφής από το Μέρος Ι του Πέμπτου Παραρτήματος (υφίσταται πλέον μόνο ως έντυπο ΗΕ8).</w:t>
            </w:r>
          </w:p>
        </w:tc>
      </w:tr>
      <w:tr w:rsidR="00FF6DD8" w:rsidRPr="00FE3152" w:rsidTr="00F42364">
        <w:tc>
          <w:tcPr>
            <w:tcW w:w="2125" w:type="dxa"/>
          </w:tcPr>
          <w:p w:rsidR="00FF6DD8" w:rsidRPr="000770B2" w:rsidRDefault="00FF6DD8" w:rsidP="00374371">
            <w:pPr>
              <w:rPr>
                <w:rFonts w:ascii="Verdana" w:hAnsi="Verdana"/>
                <w:lang w:val="el-GR"/>
              </w:rPr>
            </w:pPr>
            <w:r w:rsidRPr="000770B2">
              <w:rPr>
                <w:rFonts w:ascii="Verdana" w:hAnsi="Verdana"/>
                <w:lang w:val="el-GR"/>
              </w:rPr>
              <w:t>Άρθρο 11</w:t>
            </w:r>
          </w:p>
        </w:tc>
        <w:tc>
          <w:tcPr>
            <w:tcW w:w="11753" w:type="dxa"/>
          </w:tcPr>
          <w:p w:rsidR="00FF6DD8" w:rsidRPr="000770B2" w:rsidRDefault="00FF6DD8" w:rsidP="00347950">
            <w:pPr>
              <w:jc w:val="both"/>
              <w:rPr>
                <w:rFonts w:ascii="Verdana" w:hAnsi="Verdana"/>
                <w:lang w:val="el-GR"/>
              </w:rPr>
            </w:pPr>
            <w:r w:rsidRPr="000770B2">
              <w:rPr>
                <w:rFonts w:ascii="Verdana" w:hAnsi="Verdana"/>
                <w:lang w:val="el-GR"/>
              </w:rPr>
              <w:t>(α) Διευκρινιστική αλλαγή για κοινοποίηση σε τύπο ο οποίος είναι καθορισμένος (ΗΕ12).</w:t>
            </w:r>
          </w:p>
          <w:p w:rsidR="00FF6DD8" w:rsidRPr="000770B2" w:rsidRDefault="00FF6DD8" w:rsidP="00347950">
            <w:pPr>
              <w:jc w:val="both"/>
              <w:rPr>
                <w:rFonts w:ascii="Verdana" w:hAnsi="Verdana"/>
                <w:lang w:val="el-GR"/>
              </w:rPr>
            </w:pPr>
            <w:r w:rsidRPr="000770B2">
              <w:rPr>
                <w:rFonts w:ascii="Verdana" w:hAnsi="Verdana"/>
                <w:lang w:val="el-GR"/>
              </w:rPr>
              <w:t xml:space="preserve">(β) Κατάργηση υποχρέωσης επισύναψης σύμβασης σε περίπτωση κατά την οποία η παραχώρηση μετοχών ιδιωτικής εταιρείας γίνεται με πληρωμή μερικώς ή ολικώς σε είδος.  </w:t>
            </w:r>
          </w:p>
          <w:p w:rsidR="00FF6DD8" w:rsidRPr="000770B2" w:rsidRDefault="00FF6DD8" w:rsidP="00CA1892">
            <w:pPr>
              <w:jc w:val="both"/>
              <w:rPr>
                <w:rFonts w:ascii="Verdana" w:hAnsi="Verdana"/>
                <w:lang w:val="el-GR"/>
              </w:rPr>
            </w:pPr>
            <w:r w:rsidRPr="000770B2">
              <w:rPr>
                <w:rFonts w:ascii="Verdana" w:hAnsi="Verdana"/>
                <w:lang w:val="el-GR"/>
              </w:rPr>
              <w:t xml:space="preserve">(γ) Εισαγωγή χρηματικής επιβάρυνσης εκπρόθεσμης καταχώρησης για το έντυπο ΗΕ12. </w:t>
            </w:r>
          </w:p>
        </w:tc>
      </w:tr>
      <w:tr w:rsidR="00FF6DD8" w:rsidRPr="00FE3152" w:rsidTr="00F42364">
        <w:tc>
          <w:tcPr>
            <w:tcW w:w="2125" w:type="dxa"/>
          </w:tcPr>
          <w:p w:rsidR="00FF6DD8" w:rsidRPr="000770B2" w:rsidRDefault="00FF6DD8" w:rsidP="00DD1501">
            <w:pPr>
              <w:rPr>
                <w:rFonts w:ascii="Verdana" w:hAnsi="Verdana"/>
              </w:rPr>
            </w:pPr>
            <w:r w:rsidRPr="000770B2">
              <w:rPr>
                <w:rFonts w:ascii="Verdana" w:hAnsi="Verdana"/>
                <w:lang w:val="el-GR"/>
              </w:rPr>
              <w:t>Άρθρο 12</w:t>
            </w:r>
          </w:p>
        </w:tc>
        <w:tc>
          <w:tcPr>
            <w:tcW w:w="11753" w:type="dxa"/>
          </w:tcPr>
          <w:p w:rsidR="00FF6DD8" w:rsidRPr="000770B2" w:rsidRDefault="00FF6DD8" w:rsidP="00F62EE4">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(ΗΕ12Α).</w:t>
            </w:r>
          </w:p>
        </w:tc>
      </w:tr>
      <w:tr w:rsidR="00FF6DD8" w:rsidRPr="00FE3152" w:rsidTr="00F42364">
        <w:tc>
          <w:tcPr>
            <w:tcW w:w="2125" w:type="dxa"/>
          </w:tcPr>
          <w:p w:rsidR="00FF6DD8" w:rsidRPr="000770B2" w:rsidRDefault="00FF6DD8" w:rsidP="00DD1501">
            <w:pPr>
              <w:rPr>
                <w:rFonts w:ascii="Verdana" w:hAnsi="Verdana"/>
              </w:rPr>
            </w:pPr>
            <w:r w:rsidRPr="000770B2">
              <w:rPr>
                <w:rFonts w:ascii="Verdana" w:hAnsi="Verdana"/>
                <w:lang w:val="el-GR"/>
              </w:rPr>
              <w:t>Άρθρο 13</w:t>
            </w:r>
          </w:p>
        </w:tc>
        <w:tc>
          <w:tcPr>
            <w:tcW w:w="11753" w:type="dxa"/>
          </w:tcPr>
          <w:p w:rsidR="00FF6DD8" w:rsidRPr="000770B2" w:rsidRDefault="00FF6DD8" w:rsidP="00F62EE4">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(ΗΕ63).</w:t>
            </w:r>
          </w:p>
        </w:tc>
      </w:tr>
      <w:tr w:rsidR="00FF6DD8" w:rsidRPr="00FE3152" w:rsidTr="00F42364">
        <w:tc>
          <w:tcPr>
            <w:tcW w:w="2125" w:type="dxa"/>
          </w:tcPr>
          <w:p w:rsidR="00FF6DD8" w:rsidRPr="000770B2" w:rsidRDefault="00FF6DD8" w:rsidP="00DD1501">
            <w:pPr>
              <w:rPr>
                <w:rFonts w:ascii="Verdana" w:hAnsi="Verdana"/>
              </w:rPr>
            </w:pPr>
            <w:r w:rsidRPr="000770B2">
              <w:rPr>
                <w:rFonts w:ascii="Verdana" w:hAnsi="Verdana"/>
                <w:lang w:val="el-GR"/>
              </w:rPr>
              <w:t>Άρθρο 14</w:t>
            </w:r>
          </w:p>
        </w:tc>
        <w:tc>
          <w:tcPr>
            <w:tcW w:w="11753" w:type="dxa"/>
          </w:tcPr>
          <w:p w:rsidR="00FF6DD8" w:rsidRPr="000770B2" w:rsidRDefault="00FF6DD8" w:rsidP="00910F12">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(ΗΕ14).</w:t>
            </w:r>
          </w:p>
        </w:tc>
      </w:tr>
      <w:tr w:rsidR="00FF6DD8" w:rsidRPr="00FE3152" w:rsidTr="00F42364">
        <w:tc>
          <w:tcPr>
            <w:tcW w:w="2125" w:type="dxa"/>
          </w:tcPr>
          <w:p w:rsidR="00FF6DD8" w:rsidRPr="000770B2" w:rsidRDefault="00FF6DD8" w:rsidP="00DD1501">
            <w:pPr>
              <w:rPr>
                <w:rFonts w:ascii="Verdana" w:hAnsi="Verdana"/>
              </w:rPr>
            </w:pPr>
            <w:r w:rsidRPr="000770B2">
              <w:rPr>
                <w:rFonts w:ascii="Verdana" w:hAnsi="Verdana"/>
                <w:lang w:val="el-GR"/>
              </w:rPr>
              <w:t>Άρθρο 15</w:t>
            </w:r>
          </w:p>
        </w:tc>
        <w:tc>
          <w:tcPr>
            <w:tcW w:w="11753" w:type="dxa"/>
          </w:tcPr>
          <w:p w:rsidR="00FF6DD8" w:rsidRPr="000770B2" w:rsidRDefault="00FF6DD8" w:rsidP="00910F12">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(ΗΕ22).</w:t>
            </w:r>
          </w:p>
        </w:tc>
      </w:tr>
      <w:tr w:rsidR="00FF6DD8" w:rsidRPr="00FE3152" w:rsidTr="00F42364">
        <w:tc>
          <w:tcPr>
            <w:tcW w:w="2125" w:type="dxa"/>
          </w:tcPr>
          <w:p w:rsidR="00FF6DD8" w:rsidRPr="000770B2" w:rsidRDefault="00FF6DD8" w:rsidP="00DD1501">
            <w:pPr>
              <w:rPr>
                <w:rFonts w:ascii="Verdana" w:hAnsi="Verdana"/>
              </w:rPr>
            </w:pPr>
            <w:r w:rsidRPr="000770B2">
              <w:rPr>
                <w:rFonts w:ascii="Verdana" w:hAnsi="Verdana"/>
                <w:lang w:val="el-GR"/>
              </w:rPr>
              <w:t>Άρθρο 16</w:t>
            </w:r>
          </w:p>
        </w:tc>
        <w:tc>
          <w:tcPr>
            <w:tcW w:w="11753" w:type="dxa"/>
          </w:tcPr>
          <w:p w:rsidR="00FF6DD8" w:rsidRPr="000770B2" w:rsidRDefault="00FF6DD8" w:rsidP="00347950">
            <w:pPr>
              <w:jc w:val="both"/>
              <w:rPr>
                <w:rFonts w:ascii="Verdana" w:hAnsi="Verdana"/>
                <w:lang w:val="el-GR"/>
              </w:rPr>
            </w:pPr>
            <w:r w:rsidRPr="000770B2">
              <w:rPr>
                <w:rFonts w:ascii="Verdana" w:hAnsi="Verdana"/>
                <w:lang w:val="el-GR"/>
              </w:rPr>
              <w:t>(α) Διευκρινιστική αλλαγή για κοινοποίηση σε τύπο ο οποίος είναι καθορισμένος (ΗΕ25).</w:t>
            </w:r>
          </w:p>
          <w:p w:rsidR="00FF6DD8" w:rsidRPr="000770B2" w:rsidRDefault="00FF6DD8" w:rsidP="00347950">
            <w:pPr>
              <w:jc w:val="both"/>
              <w:rPr>
                <w:rFonts w:ascii="Verdana" w:hAnsi="Verdana"/>
                <w:lang w:val="el-GR"/>
              </w:rPr>
            </w:pPr>
            <w:r w:rsidRPr="000770B2">
              <w:rPr>
                <w:rFonts w:ascii="Verdana" w:hAnsi="Verdana"/>
                <w:lang w:val="el-GR"/>
              </w:rPr>
              <w:t xml:space="preserve">(β) Διευκρινιστική αλλαγή για κοινοποίηση σε τύπο ο οποίος είναι καθορισμένος αναφορικά με σειρά χρεωστικών ομολόγων (ΗΕ25).  </w:t>
            </w:r>
          </w:p>
        </w:tc>
      </w:tr>
      <w:tr w:rsidR="00FF6DD8" w:rsidRPr="00FE3152" w:rsidTr="00F42364">
        <w:tc>
          <w:tcPr>
            <w:tcW w:w="2125" w:type="dxa"/>
          </w:tcPr>
          <w:p w:rsidR="00FF6DD8" w:rsidRPr="000770B2" w:rsidRDefault="00FF6DD8" w:rsidP="00AE04F0">
            <w:pPr>
              <w:rPr>
                <w:rFonts w:ascii="Verdana" w:hAnsi="Verdana"/>
              </w:rPr>
            </w:pPr>
            <w:r w:rsidRPr="000770B2">
              <w:rPr>
                <w:rFonts w:ascii="Verdana" w:hAnsi="Verdana"/>
                <w:lang w:val="el-GR"/>
              </w:rPr>
              <w:t>Άρθρο 17</w:t>
            </w:r>
          </w:p>
        </w:tc>
        <w:tc>
          <w:tcPr>
            <w:tcW w:w="11753" w:type="dxa"/>
          </w:tcPr>
          <w:p w:rsidR="00FF6DD8" w:rsidRPr="000770B2" w:rsidRDefault="00FF6DD8" w:rsidP="00347950">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(ΗΕ24Υ).</w:t>
            </w:r>
          </w:p>
        </w:tc>
      </w:tr>
      <w:tr w:rsidR="00FF6DD8" w:rsidRPr="00FE3152" w:rsidTr="00F42364">
        <w:tc>
          <w:tcPr>
            <w:tcW w:w="2125" w:type="dxa"/>
          </w:tcPr>
          <w:p w:rsidR="00FF6DD8" w:rsidRPr="000770B2" w:rsidRDefault="00FF6DD8" w:rsidP="00AE04F0">
            <w:pPr>
              <w:rPr>
                <w:rFonts w:ascii="Verdana" w:hAnsi="Verdana"/>
              </w:rPr>
            </w:pPr>
            <w:r w:rsidRPr="000770B2">
              <w:rPr>
                <w:rFonts w:ascii="Verdana" w:hAnsi="Verdana"/>
                <w:lang w:val="el-GR"/>
              </w:rPr>
              <w:t>Άρθρο 18</w:t>
            </w:r>
          </w:p>
        </w:tc>
        <w:tc>
          <w:tcPr>
            <w:tcW w:w="11753" w:type="dxa"/>
          </w:tcPr>
          <w:p w:rsidR="00FF6DD8" w:rsidRPr="000770B2" w:rsidRDefault="00FF6DD8" w:rsidP="00347950">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(ΗΕ28/29).</w:t>
            </w:r>
          </w:p>
        </w:tc>
      </w:tr>
      <w:tr w:rsidR="00FF6DD8" w:rsidRPr="00FE3152" w:rsidTr="00F42364">
        <w:tc>
          <w:tcPr>
            <w:tcW w:w="2125" w:type="dxa"/>
          </w:tcPr>
          <w:p w:rsidR="00FF6DD8" w:rsidRPr="000770B2" w:rsidRDefault="00FF6DD8" w:rsidP="00AE04F0">
            <w:pPr>
              <w:rPr>
                <w:rFonts w:ascii="Verdana" w:hAnsi="Verdana"/>
              </w:rPr>
            </w:pPr>
            <w:r w:rsidRPr="000770B2">
              <w:rPr>
                <w:rFonts w:ascii="Verdana" w:hAnsi="Verdana"/>
                <w:lang w:val="el-GR"/>
              </w:rPr>
              <w:lastRenderedPageBreak/>
              <w:t>Άρθρο 19</w:t>
            </w:r>
          </w:p>
        </w:tc>
        <w:tc>
          <w:tcPr>
            <w:tcW w:w="11753" w:type="dxa"/>
          </w:tcPr>
          <w:p w:rsidR="00FF6DD8" w:rsidRPr="000770B2" w:rsidRDefault="00FF6DD8" w:rsidP="00347950">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(ΗΕ38).</w:t>
            </w:r>
          </w:p>
        </w:tc>
      </w:tr>
      <w:tr w:rsidR="00FF6DD8" w:rsidRPr="00FE3152" w:rsidTr="00F42364">
        <w:tc>
          <w:tcPr>
            <w:tcW w:w="2125" w:type="dxa"/>
          </w:tcPr>
          <w:p w:rsidR="00FF6DD8" w:rsidRPr="000770B2" w:rsidRDefault="00FF6DD8" w:rsidP="00AE04F0">
            <w:pPr>
              <w:rPr>
                <w:rFonts w:ascii="Verdana" w:hAnsi="Verdana"/>
              </w:rPr>
            </w:pPr>
            <w:r w:rsidRPr="000770B2">
              <w:rPr>
                <w:rFonts w:ascii="Verdana" w:hAnsi="Verdana"/>
                <w:lang w:val="el-GR"/>
              </w:rPr>
              <w:t>Άρθρο 20</w:t>
            </w:r>
          </w:p>
        </w:tc>
        <w:tc>
          <w:tcPr>
            <w:tcW w:w="11753" w:type="dxa"/>
          </w:tcPr>
          <w:p w:rsidR="00FF6DD8" w:rsidRPr="000770B2" w:rsidRDefault="00FF6DD8" w:rsidP="00AF1B2E">
            <w:pPr>
              <w:jc w:val="both"/>
              <w:rPr>
                <w:rFonts w:ascii="Verdana" w:hAnsi="Verdana"/>
                <w:lang w:val="el-GR"/>
              </w:rPr>
            </w:pPr>
            <w:r w:rsidRPr="000770B2">
              <w:rPr>
                <w:rFonts w:ascii="Verdana" w:hAnsi="Verdana"/>
                <w:lang w:val="el-GR"/>
              </w:rPr>
              <w:t>Εισαγωγή χρηματικής επιβάρυνσης εκπρόθεσμης καταχώρησης για το έντυπο ΗΕ2.</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21</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και απλοποίηση διαδικασίας λόγω ανασχεδιασμού και ενοποίησης (ΗΕ9).</w:t>
            </w:r>
          </w:p>
        </w:tc>
      </w:tr>
      <w:tr w:rsidR="00FF6DD8" w:rsidRPr="00FE3152" w:rsidTr="00F42364">
        <w:tc>
          <w:tcPr>
            <w:tcW w:w="2125" w:type="dxa"/>
          </w:tcPr>
          <w:p w:rsidR="00FF6DD8" w:rsidRPr="000770B2" w:rsidRDefault="00FF6DD8" w:rsidP="008A59E5">
            <w:pPr>
              <w:rPr>
                <w:rFonts w:ascii="Verdana" w:hAnsi="Verdana"/>
              </w:rPr>
            </w:pPr>
            <w:r w:rsidRPr="000770B2">
              <w:rPr>
                <w:rFonts w:ascii="Verdana" w:hAnsi="Verdana"/>
                <w:lang w:val="el-GR"/>
              </w:rPr>
              <w:t>Άρθρο 22</w:t>
            </w:r>
          </w:p>
        </w:tc>
        <w:tc>
          <w:tcPr>
            <w:tcW w:w="11753" w:type="dxa"/>
          </w:tcPr>
          <w:p w:rsidR="00FF6DD8" w:rsidRPr="000770B2" w:rsidRDefault="00FF6DD8" w:rsidP="000B49D7">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(ΗΕ20).</w:t>
            </w:r>
          </w:p>
        </w:tc>
      </w:tr>
      <w:tr w:rsidR="00FF6DD8" w:rsidRPr="00FE3152" w:rsidTr="00F42364">
        <w:tc>
          <w:tcPr>
            <w:tcW w:w="2125" w:type="dxa"/>
          </w:tcPr>
          <w:p w:rsidR="00FF6DD8" w:rsidRPr="000770B2" w:rsidRDefault="00FF6DD8" w:rsidP="008A59E5">
            <w:pPr>
              <w:rPr>
                <w:rFonts w:ascii="Verdana" w:hAnsi="Verdana"/>
              </w:rPr>
            </w:pPr>
            <w:r w:rsidRPr="000770B2">
              <w:rPr>
                <w:rFonts w:ascii="Verdana" w:hAnsi="Verdana"/>
                <w:lang w:val="el-GR"/>
              </w:rPr>
              <w:t>Άρθρο 23</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(α) Απλοποίηση των απαιτούμενων στοιχείων αναφορικά με το έντυπο ΗΕ57.</w:t>
            </w:r>
          </w:p>
          <w:p w:rsidR="00FF6DD8" w:rsidRPr="000770B2" w:rsidRDefault="00FF6DD8" w:rsidP="00AF1B2E">
            <w:pPr>
              <w:jc w:val="both"/>
              <w:rPr>
                <w:rFonts w:ascii="Verdana" w:hAnsi="Verdana"/>
                <w:lang w:val="el-GR"/>
              </w:rPr>
            </w:pPr>
            <w:r w:rsidRPr="000770B2">
              <w:rPr>
                <w:rFonts w:ascii="Verdana" w:hAnsi="Verdana"/>
                <w:lang w:val="el-GR"/>
              </w:rPr>
              <w:t>(β) Εισαγωγή χρηματικής επιβάρυνσης εκπρόθεσμης καταχώρησης για το έντυπο ΗΕ57.</w:t>
            </w:r>
          </w:p>
        </w:tc>
      </w:tr>
      <w:tr w:rsidR="00FF6DD8" w:rsidRPr="00FE3152" w:rsidTr="00F42364">
        <w:tc>
          <w:tcPr>
            <w:tcW w:w="2125" w:type="dxa"/>
          </w:tcPr>
          <w:p w:rsidR="00FF6DD8" w:rsidRPr="000770B2" w:rsidRDefault="00FF6DD8" w:rsidP="008A59E5">
            <w:pPr>
              <w:rPr>
                <w:rFonts w:ascii="Verdana" w:hAnsi="Verdana"/>
              </w:rPr>
            </w:pPr>
            <w:r w:rsidRPr="000770B2">
              <w:rPr>
                <w:rFonts w:ascii="Verdana" w:hAnsi="Verdana"/>
                <w:lang w:val="el-GR"/>
              </w:rPr>
              <w:t>Άρθρο 24</w:t>
            </w:r>
          </w:p>
        </w:tc>
        <w:tc>
          <w:tcPr>
            <w:tcW w:w="11753" w:type="dxa"/>
          </w:tcPr>
          <w:p w:rsidR="00FF6DD8" w:rsidRPr="000770B2" w:rsidRDefault="00FF6DD8" w:rsidP="00F21037">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(ΗΕ20).</w:t>
            </w:r>
          </w:p>
        </w:tc>
      </w:tr>
      <w:tr w:rsidR="00FF6DD8" w:rsidRPr="00FE3152" w:rsidTr="00F42364">
        <w:tc>
          <w:tcPr>
            <w:tcW w:w="2125" w:type="dxa"/>
          </w:tcPr>
          <w:p w:rsidR="00FF6DD8" w:rsidRPr="000770B2" w:rsidRDefault="00FF6DD8" w:rsidP="008A59E5">
            <w:pPr>
              <w:rPr>
                <w:rFonts w:ascii="Verdana" w:hAnsi="Verdana"/>
              </w:rPr>
            </w:pPr>
            <w:r w:rsidRPr="000770B2">
              <w:rPr>
                <w:rFonts w:ascii="Verdana" w:hAnsi="Verdana"/>
                <w:lang w:val="el-GR"/>
              </w:rPr>
              <w:t>Άρθρο 25</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Διαγραφή του τύπου για ετήσια έκθεση από το Μέρος ΙΙ του Έκτου Παραρτήματος (υφίσταται πλέον μόνο ως έντυπο ΗΕ32).</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26</w:t>
            </w:r>
          </w:p>
        </w:tc>
        <w:tc>
          <w:tcPr>
            <w:tcW w:w="11753" w:type="dxa"/>
          </w:tcPr>
          <w:p w:rsidR="00FF6DD8" w:rsidRPr="000770B2" w:rsidRDefault="00FF6DD8" w:rsidP="00B06D58">
            <w:pPr>
              <w:jc w:val="both"/>
              <w:rPr>
                <w:rFonts w:ascii="Verdana" w:hAnsi="Verdana"/>
                <w:lang w:val="el-GR"/>
              </w:rPr>
            </w:pPr>
            <w:r w:rsidRPr="000770B2">
              <w:rPr>
                <w:rFonts w:ascii="Verdana" w:hAnsi="Verdana"/>
                <w:lang w:val="el-GR"/>
              </w:rPr>
              <w:t>(α) αφαίρεση του διοικητικού προστίμου (μέχρι 8.500 ευρώ)</w:t>
            </w:r>
          </w:p>
          <w:p w:rsidR="00FF6DD8" w:rsidRPr="000770B2" w:rsidRDefault="00FF6DD8" w:rsidP="00B06D58">
            <w:pPr>
              <w:jc w:val="both"/>
              <w:rPr>
                <w:rFonts w:ascii="Verdana" w:hAnsi="Verdana"/>
                <w:lang w:val="el-GR"/>
              </w:rPr>
            </w:pPr>
            <w:r w:rsidRPr="000770B2">
              <w:rPr>
                <w:rFonts w:ascii="Verdana" w:hAnsi="Verdana"/>
                <w:lang w:val="el-GR"/>
              </w:rPr>
              <w:t xml:space="preserve">(β) Εισαγωγή χρηματικής επιβάρυνσης εκπρόθεσμης καταχώρησης για το έντυπο ΗΕ32. </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27</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 xml:space="preserve">Διευκρινιστική αλλαγή για τη δυνατότητα διορισμού μόνο ενός γραμματέα. </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28</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(α) Απλοποίηση των απαιτούμενων στοιχείων αναφορικά με το έντυπο ΗΕ4.</w:t>
            </w:r>
          </w:p>
          <w:p w:rsidR="00FF6DD8" w:rsidRPr="000770B2" w:rsidRDefault="00FF6DD8" w:rsidP="008A59E5">
            <w:pPr>
              <w:jc w:val="both"/>
              <w:rPr>
                <w:rFonts w:ascii="Verdana" w:hAnsi="Verdana"/>
                <w:lang w:val="el-GR"/>
              </w:rPr>
            </w:pPr>
            <w:r w:rsidRPr="000770B2">
              <w:rPr>
                <w:rFonts w:ascii="Verdana" w:hAnsi="Verdana"/>
                <w:lang w:val="el-GR"/>
              </w:rPr>
              <w:t>(β) Εισαγωγή χρηματικής επιβάρυνσης εκπρόθεσμης καταχώρησης για το έντυπο ΗΕ4 (εφαρμογή από 7/12/2019).</w:t>
            </w:r>
          </w:p>
          <w:p w:rsidR="00FF6DD8" w:rsidRPr="000770B2" w:rsidRDefault="00FF6DD8" w:rsidP="004224BD">
            <w:pPr>
              <w:jc w:val="both"/>
              <w:rPr>
                <w:rFonts w:ascii="Verdana" w:hAnsi="Verdana"/>
                <w:lang w:val="el-GR"/>
              </w:rPr>
            </w:pPr>
            <w:r w:rsidRPr="000770B2">
              <w:rPr>
                <w:rFonts w:ascii="Verdana" w:hAnsi="Verdana"/>
                <w:lang w:val="el-GR"/>
              </w:rPr>
              <w:t>(γ) Διαγραφή της δυνατότητας διορισμού γραμματείς από κοινού.</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29</w:t>
            </w:r>
          </w:p>
        </w:tc>
        <w:tc>
          <w:tcPr>
            <w:tcW w:w="11753" w:type="dxa"/>
          </w:tcPr>
          <w:p w:rsidR="00FF6DD8" w:rsidRPr="000770B2" w:rsidRDefault="00FF6DD8" w:rsidP="008A33E2">
            <w:pPr>
              <w:jc w:val="both"/>
              <w:rPr>
                <w:rFonts w:ascii="Verdana" w:hAnsi="Verdana"/>
                <w:lang w:val="el-GR"/>
              </w:rPr>
            </w:pPr>
            <w:r w:rsidRPr="000770B2">
              <w:rPr>
                <w:rFonts w:ascii="Verdana" w:hAnsi="Verdana"/>
                <w:lang w:val="el-GR"/>
              </w:rPr>
              <w:t xml:space="preserve">Απλοποίηση των απαιτούμενων στοιχείων αναφορικά με τους διοικητικούς συμβούλους που δημοσιεύονται σε εγκυκλίους, εμπορικούς καταλόγους κ.α. </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30</w:t>
            </w:r>
          </w:p>
        </w:tc>
        <w:tc>
          <w:tcPr>
            <w:tcW w:w="11753" w:type="dxa"/>
          </w:tcPr>
          <w:p w:rsidR="00FF6DD8" w:rsidRPr="000770B2" w:rsidRDefault="00FF6DD8" w:rsidP="001C77F6">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(ΗΕ17, ΗΕ18 και ΗΕ19).</w:t>
            </w:r>
          </w:p>
        </w:tc>
      </w:tr>
      <w:tr w:rsidR="00FF6DD8" w:rsidRPr="00FE3152" w:rsidTr="00F42364">
        <w:tc>
          <w:tcPr>
            <w:tcW w:w="2125" w:type="dxa"/>
          </w:tcPr>
          <w:p w:rsidR="00FF6DD8" w:rsidRPr="000770B2" w:rsidRDefault="00FF6DD8" w:rsidP="008A59E5">
            <w:pPr>
              <w:rPr>
                <w:rFonts w:ascii="Verdana" w:hAnsi="Verdana"/>
              </w:rPr>
            </w:pPr>
            <w:r w:rsidRPr="000770B2">
              <w:rPr>
                <w:rFonts w:ascii="Verdana" w:hAnsi="Verdana"/>
                <w:lang w:val="el-GR"/>
              </w:rPr>
              <w:t>Άρθρο 31</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 xml:space="preserve">(α) Εισαγωγή καθορισμένου τύπου για διασυνοριακές συγχωνεύσεις (ΗΕ66). </w:t>
            </w:r>
          </w:p>
          <w:p w:rsidR="00FF6DD8" w:rsidRPr="000770B2" w:rsidRDefault="00FF6DD8" w:rsidP="00D71B5D">
            <w:pPr>
              <w:jc w:val="both"/>
              <w:rPr>
                <w:rFonts w:ascii="Verdana" w:hAnsi="Verdana"/>
                <w:lang w:val="el-GR"/>
              </w:rPr>
            </w:pPr>
            <w:r w:rsidRPr="000770B2">
              <w:rPr>
                <w:rFonts w:ascii="Verdana" w:hAnsi="Verdana"/>
                <w:lang w:val="el-GR"/>
              </w:rPr>
              <w:t xml:space="preserve">(β) Πρόνοια ώστε οι δημοσιεύσεις να γίνονται στην ηλεκτρονική εφημερίδα του Εφόρου Εταιρειών και όχι στην Επίσημη Εφημερίδα της Δημοκρατίας. </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32</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(α) Πρόνοια ώστε οι δημοσιεύσεις να γίνονται στην ηλεκτρονική εφημερίδα του Εφόρου Εταιρειών και όχι την Επίσημη Εφημερίδα της Δημοκρατίας (δεν επηρεάζει την πράξη στο παρόν στάδιο – η Επίσημη Εφημερίδα αναφέρεται στο υφιστάμενο άρθρο 365Α).</w:t>
            </w:r>
          </w:p>
          <w:p w:rsidR="00FF6DD8" w:rsidRPr="000770B2" w:rsidRDefault="00FF6DD8" w:rsidP="008A59E5">
            <w:pPr>
              <w:jc w:val="both"/>
              <w:rPr>
                <w:rFonts w:ascii="Verdana" w:hAnsi="Verdana"/>
                <w:lang w:val="el-GR"/>
              </w:rPr>
            </w:pPr>
            <w:r w:rsidRPr="000770B2">
              <w:rPr>
                <w:rFonts w:ascii="Verdana" w:hAnsi="Verdana"/>
                <w:lang w:val="el-GR"/>
              </w:rPr>
              <w:t xml:space="preserve">(β) Εισαγωγή διευκρινιστικής πρόνοιας στη περίπτωση διαγραφή εταιρείας κατόπιν αίτησης «νοουμένου ότι η εταιρεία έχει εκπληρώσει τις υποχρεώσεις της οι οποίες προκύπτουν από το </w:t>
            </w:r>
            <w:proofErr w:type="spellStart"/>
            <w:r w:rsidRPr="000770B2">
              <w:rPr>
                <w:rFonts w:ascii="Verdana" w:hAnsi="Verdana"/>
                <w:lang w:val="el-GR"/>
              </w:rPr>
              <w:t>Νόμο»∙</w:t>
            </w:r>
            <w:proofErr w:type="spellEnd"/>
          </w:p>
          <w:p w:rsidR="00FF6DD8" w:rsidRPr="000770B2" w:rsidRDefault="00FF6DD8" w:rsidP="008A59E5">
            <w:pPr>
              <w:jc w:val="both"/>
              <w:rPr>
                <w:rFonts w:ascii="Verdana" w:hAnsi="Verdana"/>
                <w:lang w:val="el-GR"/>
              </w:rPr>
            </w:pPr>
            <w:r w:rsidRPr="000770B2">
              <w:rPr>
                <w:rFonts w:ascii="Verdana" w:hAnsi="Verdana"/>
                <w:lang w:val="el-GR"/>
              </w:rPr>
              <w:t>(γ) Εισαγωγή καθορισμένου τύπου για ένσταση στη διαγραφή εταιρείας από το μητρώο του Εφόρου Εταιρειών</w:t>
            </w:r>
            <w:r w:rsidRPr="000770B2">
              <w:rPr>
                <w:rFonts w:ascii="Arial" w:hAnsi="Arial" w:cs="Arial"/>
                <w:lang w:val="el-GR"/>
              </w:rPr>
              <w:t xml:space="preserve"> που δύναται να υποβληθεί από την εταιρεία ή από οποιοδήποτε μέλος ή πιστωτή της εταιρείας</w:t>
            </w:r>
            <w:r w:rsidRPr="000770B2">
              <w:rPr>
                <w:rFonts w:ascii="Verdana" w:hAnsi="Verdana"/>
                <w:lang w:val="el-GR"/>
              </w:rPr>
              <w:t xml:space="preserve">. </w:t>
            </w:r>
          </w:p>
          <w:p w:rsidR="00FF6DD8" w:rsidRPr="000770B2" w:rsidRDefault="00FF6DD8" w:rsidP="008A59E5">
            <w:pPr>
              <w:jc w:val="both"/>
              <w:rPr>
                <w:rFonts w:ascii="Verdana" w:hAnsi="Verdana"/>
                <w:lang w:val="el-GR"/>
              </w:rPr>
            </w:pPr>
            <w:r w:rsidRPr="000770B2">
              <w:rPr>
                <w:rFonts w:ascii="Verdana" w:hAnsi="Verdana"/>
                <w:lang w:val="el-GR"/>
              </w:rPr>
              <w:t>(δ) Εισαγωγή καθορισμένου τύπου για απόσυρση αίτησης διαγραφής εταιρείας από το μητρώο του Εφόρου Εταιρειών η οποία έγινε από την ίδια την εταιρεία.</w:t>
            </w:r>
          </w:p>
          <w:p w:rsidR="00FF6DD8" w:rsidRPr="000770B2" w:rsidRDefault="00FF6DD8" w:rsidP="008A59E5">
            <w:pPr>
              <w:jc w:val="both"/>
              <w:rPr>
                <w:rFonts w:ascii="Verdana" w:hAnsi="Verdana"/>
                <w:lang w:val="el-GR"/>
              </w:rPr>
            </w:pPr>
            <w:r w:rsidRPr="000770B2">
              <w:rPr>
                <w:rFonts w:ascii="Verdana" w:hAnsi="Verdana"/>
                <w:lang w:val="el-GR"/>
              </w:rPr>
              <w:t xml:space="preserve">(ε) Εισαγωγή πρόνοιας για τη δυνατότητα του Δικαστηρίου να δώσει οδηγίες για επικαιροποίηση του μητρώου το οποίο τηρείται από τον Έφορο Εταιρειών, καταβολή των οφειλόμενων τελών της εταιρείας </w:t>
            </w:r>
            <w:r w:rsidRPr="000770B2">
              <w:rPr>
                <w:rFonts w:ascii="Verdana" w:hAnsi="Verdana"/>
                <w:lang w:val="el-GR"/>
              </w:rPr>
              <w:lastRenderedPageBreak/>
              <w:t xml:space="preserve">προς τον Έφορο Εταιρειών και την  καταβολή των εξόδων του εφόρου σχετικά με τη διαδικασία αποκατάστασης της εταιρείας στο μητρώο, κατά την έκδοση διατάγματος για επαναφορά της εταιρείας στο μητρώο του Εφόρου Εταιρειών. </w:t>
            </w:r>
          </w:p>
          <w:p w:rsidR="00FF6DD8" w:rsidRPr="000770B2" w:rsidRDefault="00FF6DD8" w:rsidP="008A59E5">
            <w:pPr>
              <w:jc w:val="both"/>
              <w:rPr>
                <w:rFonts w:ascii="Verdana" w:hAnsi="Verdana"/>
                <w:lang w:val="el-GR"/>
              </w:rPr>
            </w:pPr>
            <w:r w:rsidRPr="000770B2">
              <w:rPr>
                <w:rFonts w:ascii="Verdana" w:hAnsi="Verdana"/>
                <w:lang w:val="el-GR"/>
              </w:rPr>
              <w:t xml:space="preserve">(στ) Εισαγωγή πρόνοιας για επαναφορά μέσω δικαστηρίου από πιστωτή ή όποιο έχει υποστεί ζημιά από τις πράξεις της. </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lastRenderedPageBreak/>
              <w:t>Άρθρο 33</w:t>
            </w:r>
          </w:p>
        </w:tc>
        <w:tc>
          <w:tcPr>
            <w:tcW w:w="11753" w:type="dxa"/>
          </w:tcPr>
          <w:p w:rsidR="00FF6DD8" w:rsidRPr="000770B2" w:rsidRDefault="00FF6DD8" w:rsidP="00C8075F">
            <w:pPr>
              <w:jc w:val="both"/>
              <w:rPr>
                <w:rFonts w:ascii="Verdana" w:hAnsi="Verdana"/>
                <w:lang w:val="el-GR"/>
              </w:rPr>
            </w:pPr>
            <w:r w:rsidRPr="000770B2">
              <w:rPr>
                <w:rFonts w:ascii="Verdana" w:hAnsi="Verdana"/>
                <w:lang w:val="el-GR"/>
              </w:rPr>
              <w:t xml:space="preserve">Προσθήκη νέου άρθρου για διοικητική επαναφορά διαγεγραμμένης εταιρείας εντός δύο  χρόνων από τη διαγραφή της. </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34</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(ΗΕ35).</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35</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(α) Διευκρινιστική αλλαγή για κοινοποίηση σε τύπο ο οποίος είναι καθορισμένος (ΑΕ1).</w:t>
            </w:r>
          </w:p>
          <w:p w:rsidR="00FF6DD8" w:rsidRPr="000770B2" w:rsidRDefault="00FF6DD8" w:rsidP="008A59E5">
            <w:pPr>
              <w:jc w:val="both"/>
              <w:rPr>
                <w:rFonts w:ascii="Verdana" w:hAnsi="Verdana"/>
                <w:lang w:val="el-GR"/>
              </w:rPr>
            </w:pPr>
            <w:r w:rsidRPr="000770B2">
              <w:rPr>
                <w:rFonts w:ascii="Verdana" w:hAnsi="Verdana"/>
                <w:lang w:val="el-GR"/>
              </w:rPr>
              <w:t>(β) Διευκρινιστική αλλαγή για τη δυνατότητα διορισμού μόνο ενός γραμματέα στην περίπτωση αλλοδαπών εταιρειών.</w:t>
            </w:r>
          </w:p>
          <w:p w:rsidR="00FF6DD8" w:rsidRPr="000770B2" w:rsidRDefault="00FF6DD8" w:rsidP="008A59E5">
            <w:pPr>
              <w:jc w:val="both"/>
              <w:rPr>
                <w:rFonts w:ascii="Verdana" w:hAnsi="Verdana"/>
                <w:lang w:val="el-GR"/>
              </w:rPr>
            </w:pPr>
            <w:r w:rsidRPr="000770B2">
              <w:rPr>
                <w:rFonts w:ascii="Verdana" w:hAnsi="Verdana"/>
                <w:lang w:val="el-GR"/>
              </w:rPr>
              <w:t xml:space="preserve">(γ) Απλοποίηση των στοιχείων που απαιτούνται για τους αξιωματούχους αλλοδαπής εταιρείας. </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36</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(α) Εισαγωγή χρηματικής επιβάρυνσης εκπρόθεσμης καταχώρησης  αναφορικά με διορισμό, παραίτηση αξιωματούχου αλλοδαπής εταιρείας ή αλλαγή στα στοιχεία του (ΑΕ5), διορισμός, παραίτηση εξουσιοδοτημένων προσώπων αλλοδαπής εταιρείας ή αλλαγή στα στοιχεία του (ΑΕ6), αλλαγή διεύθυνσης τόπου εργασίας αλλοδαπής εταιρείας(ΑΕ8).</w:t>
            </w:r>
          </w:p>
          <w:p w:rsidR="00FF6DD8" w:rsidRPr="000770B2" w:rsidRDefault="00FF6DD8" w:rsidP="008A59E5">
            <w:pPr>
              <w:jc w:val="both"/>
              <w:rPr>
                <w:rFonts w:ascii="Verdana" w:hAnsi="Verdana"/>
                <w:lang w:val="el-GR"/>
              </w:rPr>
            </w:pPr>
            <w:r w:rsidRPr="000770B2">
              <w:rPr>
                <w:rFonts w:ascii="Verdana" w:hAnsi="Verdana"/>
                <w:lang w:val="el-GR"/>
              </w:rPr>
              <w:t>(β) Καθορισμός της προθεσμίας εντός της οποίας θα υποβάλλονται οι αλλαγές αλλοδαπών εταιρειών (15 ημέρες) και αφορά αλλαγές σε ιδρυτικό ή καταστατικό έγγραφο, συμβούλους ή γραμματέα, διεύθυνση τόπου εργασίας, στοιχεία προσώπων που εκπροσωπούν την εταιρεία ή/και αποδέχονται επίδοση.</w:t>
            </w:r>
          </w:p>
          <w:p w:rsidR="00FF6DD8" w:rsidRPr="000770B2" w:rsidRDefault="00FF6DD8" w:rsidP="008A59E5">
            <w:pPr>
              <w:jc w:val="both"/>
              <w:rPr>
                <w:rFonts w:ascii="Verdana" w:hAnsi="Verdana"/>
                <w:lang w:val="el-GR"/>
              </w:rPr>
            </w:pPr>
            <w:r w:rsidRPr="000770B2">
              <w:rPr>
                <w:rFonts w:ascii="Verdana" w:hAnsi="Verdana"/>
                <w:lang w:val="el-GR"/>
              </w:rPr>
              <w:t xml:space="preserve">(γ) Θεσμοθέτηση αλλαγών που υποβάλλονται σε καθορισμένο τύπο (διεύθυνση τόπου εργασίας, στοιχεία προσώπων που εκπροσωπούν την εταιρεία). </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37</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 xml:space="preserve">(α) Αντικατάσταση της ένορκης δήλωσης στο έντυπο ΜΕΑ με θέσμια δήλωση. </w:t>
            </w:r>
          </w:p>
          <w:p w:rsidR="00FF6DD8" w:rsidRPr="000770B2" w:rsidRDefault="00FF6DD8" w:rsidP="008A59E5">
            <w:pPr>
              <w:jc w:val="both"/>
              <w:rPr>
                <w:rFonts w:ascii="Verdana" w:hAnsi="Verdana"/>
                <w:lang w:val="el-GR"/>
              </w:rPr>
            </w:pPr>
            <w:r w:rsidRPr="000770B2">
              <w:rPr>
                <w:rFonts w:ascii="Verdana" w:hAnsi="Verdana"/>
                <w:lang w:val="el-GR"/>
              </w:rPr>
              <w:t>(β) Αντικατάσταση των καταλόγων αξιωματούχων/μελών με στοιχεία που συμπληρώνονται στο έντυπο.</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38</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Αντικατάσταση του καταλόγου μελών με στοιχεία που συμπληρώνονται στο έντυπο.</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39</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 xml:space="preserve">Πρόνοια για τη δημιουργία ηλεκτρονικής εφημερίδας του Εφόρου Εταιρειών για τις αναγκαίες δημοσιεύσεις. </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40</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Διαγραφή του άρθρου 368 που αφορούσε την προσκόμιση μαζί με την ετήσια έκθεση εταιρείας η οποία είναι τράπεζα των ονομάτων των διάφορων περιοχών που διεξάγει εργασία (απάλειψη επισυναπτόμενου).</w:t>
            </w:r>
          </w:p>
        </w:tc>
      </w:tr>
      <w:tr w:rsidR="00FF6DD8" w:rsidRPr="00FE315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41</w:t>
            </w:r>
          </w:p>
        </w:tc>
        <w:tc>
          <w:tcPr>
            <w:tcW w:w="11753" w:type="dxa"/>
          </w:tcPr>
          <w:p w:rsidR="00FF6DD8" w:rsidRPr="000770B2" w:rsidRDefault="00FF6DD8" w:rsidP="003450FB">
            <w:pPr>
              <w:jc w:val="both"/>
              <w:rPr>
                <w:rFonts w:ascii="Verdana" w:hAnsi="Verdana"/>
                <w:lang w:val="el-GR"/>
              </w:rPr>
            </w:pPr>
            <w:r w:rsidRPr="000770B2">
              <w:rPr>
                <w:rFonts w:ascii="Verdana" w:hAnsi="Verdana"/>
                <w:lang w:val="el-GR"/>
              </w:rPr>
              <w:t>Απλοποίηση της διαδικασίας καθορισμού των εντύπων διαμέσου της απάλειψης της δημιουργίας κανονισμών που κατατίθενται στη Βουλή των Αντιπροσώπων.</w:t>
            </w:r>
          </w:p>
        </w:tc>
      </w:tr>
      <w:tr w:rsidR="00FF6DD8" w:rsidRPr="00FE3152" w:rsidTr="00F42364">
        <w:tc>
          <w:tcPr>
            <w:tcW w:w="2125" w:type="dxa"/>
          </w:tcPr>
          <w:p w:rsidR="00FF6DD8" w:rsidRPr="000770B2" w:rsidRDefault="00FF6DD8" w:rsidP="008A59E5">
            <w:pPr>
              <w:rPr>
                <w:rFonts w:ascii="Verdana" w:hAnsi="Verdana"/>
              </w:rPr>
            </w:pPr>
            <w:r w:rsidRPr="000770B2">
              <w:rPr>
                <w:rFonts w:ascii="Verdana" w:hAnsi="Verdana"/>
                <w:lang w:val="el-GR"/>
              </w:rPr>
              <w:t>Άρθρο 42</w:t>
            </w:r>
          </w:p>
        </w:tc>
        <w:tc>
          <w:tcPr>
            <w:tcW w:w="11753" w:type="dxa"/>
          </w:tcPr>
          <w:p w:rsidR="00FF6DD8" w:rsidRPr="000770B2" w:rsidRDefault="00FF6DD8" w:rsidP="003450FB">
            <w:pPr>
              <w:jc w:val="both"/>
              <w:rPr>
                <w:rFonts w:ascii="Verdana" w:hAnsi="Verdana"/>
                <w:lang w:val="el-GR"/>
              </w:rPr>
            </w:pPr>
            <w:r w:rsidRPr="000770B2">
              <w:rPr>
                <w:rFonts w:ascii="Verdana" w:hAnsi="Verdana"/>
                <w:lang w:val="el-GR"/>
              </w:rPr>
              <w:t>Δημιουργία νέου άρθρου σύμφωνα με το οποίο ο Υπουργός διαμέσου διατάγματος θα δύναται να καθορίζει και ρυθμίζει τους τύπους που θα χρησιμοποιηθούν για οποιοδήποτε θέμα με βάση τις διατάξεις του νόμου</w:t>
            </w:r>
          </w:p>
        </w:tc>
      </w:tr>
      <w:tr w:rsidR="00FF6DD8" w:rsidRPr="00FE3152" w:rsidTr="00F42364">
        <w:tc>
          <w:tcPr>
            <w:tcW w:w="2125" w:type="dxa"/>
          </w:tcPr>
          <w:p w:rsidR="00FF6DD8" w:rsidRPr="000770B2" w:rsidRDefault="00FF6DD8" w:rsidP="008A59E5">
            <w:pPr>
              <w:rPr>
                <w:rFonts w:ascii="Verdana" w:hAnsi="Verdana"/>
              </w:rPr>
            </w:pPr>
            <w:r w:rsidRPr="000770B2">
              <w:rPr>
                <w:rFonts w:ascii="Verdana" w:hAnsi="Verdana"/>
                <w:lang w:val="el-GR"/>
              </w:rPr>
              <w:lastRenderedPageBreak/>
              <w:t>Άρθρο 43</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(ΗΕ67).</w:t>
            </w:r>
          </w:p>
        </w:tc>
      </w:tr>
      <w:tr w:rsidR="00FF6DD8" w:rsidRPr="00FE3152" w:rsidTr="00F42364">
        <w:tc>
          <w:tcPr>
            <w:tcW w:w="2125" w:type="dxa"/>
          </w:tcPr>
          <w:p w:rsidR="00FF6DD8" w:rsidRPr="000770B2" w:rsidRDefault="00FF6DD8" w:rsidP="008A59E5">
            <w:pPr>
              <w:rPr>
                <w:rFonts w:ascii="Verdana" w:hAnsi="Verdana"/>
              </w:rPr>
            </w:pPr>
            <w:r w:rsidRPr="000770B2">
              <w:rPr>
                <w:rFonts w:ascii="Verdana" w:hAnsi="Verdana"/>
                <w:lang w:val="el-GR"/>
              </w:rPr>
              <w:t>Άρθρο 44</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Διευκρινιστική αλλαγή για κοινοποίηση σε τύπο ο οποίος είναι καθορισμένος (ΗΕ67).</w:t>
            </w:r>
          </w:p>
        </w:tc>
      </w:tr>
      <w:tr w:rsidR="00FF6DD8" w:rsidRPr="00FE3152" w:rsidTr="00F42364">
        <w:tc>
          <w:tcPr>
            <w:tcW w:w="2125" w:type="dxa"/>
          </w:tcPr>
          <w:p w:rsidR="00FF6DD8" w:rsidRPr="000770B2" w:rsidRDefault="00FF6DD8" w:rsidP="008A59E5">
            <w:pPr>
              <w:rPr>
                <w:rFonts w:ascii="Verdana" w:hAnsi="Verdana"/>
              </w:rPr>
            </w:pPr>
            <w:r w:rsidRPr="000770B2">
              <w:rPr>
                <w:rFonts w:ascii="Verdana" w:hAnsi="Verdana"/>
                <w:lang w:val="el-GR"/>
              </w:rPr>
              <w:t>Άρθρο 45</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Απλοποίηση των στοιχείων που απαιτούνται για ιδρυτικό εταιρείας περιορισμένης ευθύνης με μετοχές.</w:t>
            </w:r>
          </w:p>
        </w:tc>
      </w:tr>
      <w:tr w:rsidR="00FF6DD8" w:rsidRPr="00FE3152" w:rsidTr="00F42364">
        <w:tc>
          <w:tcPr>
            <w:tcW w:w="2125" w:type="dxa"/>
          </w:tcPr>
          <w:p w:rsidR="00FF6DD8" w:rsidRPr="000770B2" w:rsidRDefault="00FF6DD8" w:rsidP="008A59E5">
            <w:pPr>
              <w:rPr>
                <w:rFonts w:ascii="Verdana" w:hAnsi="Verdana"/>
              </w:rPr>
            </w:pPr>
            <w:r w:rsidRPr="000770B2">
              <w:rPr>
                <w:rFonts w:ascii="Verdana" w:hAnsi="Verdana"/>
                <w:lang w:val="el-GR"/>
              </w:rPr>
              <w:t>Άρθρο 46</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Απλοποίηση των στοιχείων που απαιτούνται για ιδρυτικό και καταστατικό εταιρείας περιορισμένης ευθύνης με εγγύηση, χωρίς μετοχικό κεφάλαιο.</w:t>
            </w:r>
          </w:p>
        </w:tc>
      </w:tr>
      <w:tr w:rsidR="00FF6DD8" w:rsidRPr="00FE3152" w:rsidTr="00F42364">
        <w:tc>
          <w:tcPr>
            <w:tcW w:w="2125" w:type="dxa"/>
          </w:tcPr>
          <w:p w:rsidR="00FF6DD8" w:rsidRPr="000770B2" w:rsidRDefault="00FF6DD8" w:rsidP="008A59E5">
            <w:pPr>
              <w:rPr>
                <w:rFonts w:ascii="Verdana" w:hAnsi="Verdana"/>
              </w:rPr>
            </w:pPr>
            <w:r w:rsidRPr="000770B2">
              <w:rPr>
                <w:rFonts w:ascii="Verdana" w:hAnsi="Verdana"/>
                <w:lang w:val="el-GR"/>
              </w:rPr>
              <w:t>Άρθρο 47</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Απλοποίηση των στοιχείων που απαιτούνται για ιδρυτικό και καταστατικό εταιρείας περιορισμένης ευθύνης με εγγύηση, με μετοχικό κεφάλαιο.</w:t>
            </w:r>
          </w:p>
        </w:tc>
      </w:tr>
      <w:tr w:rsidR="00FF6DD8" w:rsidRPr="00FE3152" w:rsidTr="00F42364">
        <w:tc>
          <w:tcPr>
            <w:tcW w:w="2125" w:type="dxa"/>
          </w:tcPr>
          <w:p w:rsidR="00FF6DD8" w:rsidRPr="000770B2" w:rsidRDefault="00FF6DD8" w:rsidP="008A59E5">
            <w:pPr>
              <w:rPr>
                <w:rFonts w:ascii="Verdana" w:hAnsi="Verdana"/>
              </w:rPr>
            </w:pPr>
            <w:r w:rsidRPr="000770B2">
              <w:rPr>
                <w:rFonts w:ascii="Verdana" w:hAnsi="Verdana"/>
                <w:lang w:val="el-GR"/>
              </w:rPr>
              <w:t>Άρθρο 48</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Διαγραφή της έκθεσης αντί τύπου για εγγραφής από το Μέρος Ι του Τρίτου Παραρτήματος (υφίσταται πλέον μόνο ως έντυπο ΗΕ7).</w:t>
            </w:r>
          </w:p>
        </w:tc>
      </w:tr>
      <w:tr w:rsidR="00FF6DD8" w:rsidRPr="00FE3152" w:rsidTr="00F42364">
        <w:tc>
          <w:tcPr>
            <w:tcW w:w="2125" w:type="dxa"/>
          </w:tcPr>
          <w:p w:rsidR="00FF6DD8" w:rsidRPr="000770B2" w:rsidRDefault="00FF6DD8" w:rsidP="008A59E5">
            <w:pPr>
              <w:rPr>
                <w:rFonts w:ascii="Verdana" w:hAnsi="Verdana"/>
              </w:rPr>
            </w:pPr>
            <w:r w:rsidRPr="000770B2">
              <w:rPr>
                <w:rFonts w:ascii="Verdana" w:hAnsi="Verdana"/>
                <w:lang w:val="el-GR"/>
              </w:rPr>
              <w:t>Άρθρο 49</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Διαγραφή της έκθεσης αντί τύπου για εγγραφής από το Μέρος Ι του Πέμπτου Παραρτήματος (υφίσταται πλέον μόνο ως έντυπο ΗΕ8).</w:t>
            </w:r>
          </w:p>
        </w:tc>
      </w:tr>
      <w:tr w:rsidR="00FF6DD8" w:rsidRPr="00FE3152" w:rsidTr="00F42364">
        <w:tc>
          <w:tcPr>
            <w:tcW w:w="2125" w:type="dxa"/>
          </w:tcPr>
          <w:p w:rsidR="00FF6DD8" w:rsidRPr="000770B2" w:rsidRDefault="00FF6DD8" w:rsidP="008A59E5">
            <w:pPr>
              <w:rPr>
                <w:rFonts w:ascii="Verdana" w:hAnsi="Verdana"/>
              </w:rPr>
            </w:pPr>
            <w:r w:rsidRPr="000770B2">
              <w:rPr>
                <w:rFonts w:ascii="Verdana" w:hAnsi="Verdana"/>
                <w:lang w:val="el-GR"/>
              </w:rPr>
              <w:t>Άρθρο 50</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 xml:space="preserve">(α) Απλοποίηση των στοιχείων που απαιτούνται να κοινοποιούνται με την ετήσια έκθεση. </w:t>
            </w:r>
          </w:p>
          <w:p w:rsidR="00FF6DD8" w:rsidRPr="000770B2" w:rsidRDefault="00FF6DD8" w:rsidP="008A59E5">
            <w:pPr>
              <w:jc w:val="both"/>
              <w:rPr>
                <w:rFonts w:ascii="Verdana" w:hAnsi="Verdana"/>
                <w:lang w:val="el-GR"/>
              </w:rPr>
            </w:pPr>
            <w:r w:rsidRPr="000770B2">
              <w:rPr>
                <w:rFonts w:ascii="Verdana" w:hAnsi="Verdana"/>
                <w:lang w:val="el-GR"/>
              </w:rPr>
              <w:t>(β) Διαγραφή του τύπου της ετήσιας έκθεσης (υφίσταται πλέον μόνο ως έντυπο ΗΕ32).</w:t>
            </w:r>
          </w:p>
        </w:tc>
      </w:tr>
      <w:tr w:rsidR="00FF6DD8" w:rsidRPr="000770B2" w:rsidTr="00F42364">
        <w:tc>
          <w:tcPr>
            <w:tcW w:w="2125" w:type="dxa"/>
          </w:tcPr>
          <w:p w:rsidR="00FF6DD8" w:rsidRPr="000770B2" w:rsidRDefault="00FF6DD8" w:rsidP="008A59E5">
            <w:pPr>
              <w:rPr>
                <w:rFonts w:ascii="Verdana" w:hAnsi="Verdana"/>
                <w:lang w:val="el-GR"/>
              </w:rPr>
            </w:pPr>
            <w:r w:rsidRPr="000770B2">
              <w:rPr>
                <w:rFonts w:ascii="Verdana" w:hAnsi="Verdana"/>
                <w:lang w:val="el-GR"/>
              </w:rPr>
              <w:t>Άρθρο 51</w:t>
            </w:r>
          </w:p>
        </w:tc>
        <w:tc>
          <w:tcPr>
            <w:tcW w:w="11753" w:type="dxa"/>
          </w:tcPr>
          <w:p w:rsidR="00FF6DD8" w:rsidRPr="000770B2" w:rsidRDefault="00FF6DD8" w:rsidP="008A59E5">
            <w:pPr>
              <w:jc w:val="both"/>
              <w:rPr>
                <w:rFonts w:ascii="Verdana" w:hAnsi="Verdana"/>
                <w:lang w:val="el-GR"/>
              </w:rPr>
            </w:pPr>
            <w:r w:rsidRPr="000770B2">
              <w:rPr>
                <w:rFonts w:ascii="Verdana" w:hAnsi="Verdana"/>
                <w:lang w:val="el-GR"/>
              </w:rPr>
              <w:t>Έναρξη ισχύος του νόμου.</w:t>
            </w:r>
          </w:p>
        </w:tc>
      </w:tr>
    </w:tbl>
    <w:p w:rsidR="005B6E5E" w:rsidRPr="000770B2" w:rsidRDefault="005B6E5E" w:rsidP="00374371">
      <w:pPr>
        <w:spacing w:after="0" w:line="240" w:lineRule="auto"/>
        <w:rPr>
          <w:rFonts w:ascii="Verdana" w:hAnsi="Verdana"/>
          <w:lang w:val="el-GR"/>
        </w:rPr>
      </w:pPr>
    </w:p>
    <w:p w:rsidR="005B6E5E" w:rsidRPr="000770B2" w:rsidRDefault="005B6E5E" w:rsidP="00374371">
      <w:pPr>
        <w:spacing w:after="0" w:line="240" w:lineRule="auto"/>
        <w:rPr>
          <w:rFonts w:ascii="Verdana" w:hAnsi="Verdana"/>
          <w:lang w:val="el-GR"/>
        </w:rPr>
      </w:pPr>
    </w:p>
    <w:p w:rsidR="00FB07AE" w:rsidRPr="000770B2" w:rsidRDefault="00FB07AE" w:rsidP="00374371">
      <w:pPr>
        <w:spacing w:after="0" w:line="240" w:lineRule="auto"/>
        <w:rPr>
          <w:rFonts w:ascii="Verdana" w:hAnsi="Verdana"/>
          <w:lang w:val="el-GR"/>
        </w:rPr>
      </w:pPr>
    </w:p>
    <w:p w:rsidR="00FB07AE" w:rsidRPr="000770B2" w:rsidRDefault="00FB07AE" w:rsidP="00374371">
      <w:pPr>
        <w:spacing w:after="0" w:line="240" w:lineRule="auto"/>
        <w:rPr>
          <w:rFonts w:ascii="Verdana" w:hAnsi="Verdana"/>
          <w:lang w:val="el-GR"/>
        </w:rPr>
      </w:pPr>
    </w:p>
    <w:p w:rsidR="008C79C5" w:rsidRPr="000770B2" w:rsidRDefault="008C79C5" w:rsidP="00F10829">
      <w:pPr>
        <w:spacing w:line="240" w:lineRule="auto"/>
        <w:ind w:right="-779"/>
        <w:jc w:val="center"/>
        <w:rPr>
          <w:rFonts w:ascii="Verdana" w:hAnsi="Verdana"/>
          <w:b/>
          <w:sz w:val="28"/>
          <w:szCs w:val="28"/>
          <w:lang w:val="el-GR"/>
        </w:rPr>
      </w:pPr>
    </w:p>
    <w:p w:rsidR="008C79C5" w:rsidRPr="000770B2" w:rsidRDefault="008C79C5" w:rsidP="00F10829">
      <w:pPr>
        <w:spacing w:line="240" w:lineRule="auto"/>
        <w:ind w:right="-779"/>
        <w:jc w:val="center"/>
        <w:rPr>
          <w:rFonts w:ascii="Verdana" w:hAnsi="Verdana"/>
          <w:b/>
          <w:sz w:val="28"/>
          <w:szCs w:val="28"/>
          <w:lang w:val="el-GR"/>
        </w:rPr>
      </w:pPr>
    </w:p>
    <w:p w:rsidR="008C79C5" w:rsidRPr="000770B2" w:rsidRDefault="008C79C5" w:rsidP="00F10829">
      <w:pPr>
        <w:spacing w:line="240" w:lineRule="auto"/>
        <w:ind w:right="-779"/>
        <w:jc w:val="center"/>
        <w:rPr>
          <w:rFonts w:ascii="Verdana" w:hAnsi="Verdana"/>
          <w:b/>
          <w:sz w:val="28"/>
          <w:szCs w:val="28"/>
          <w:lang w:val="el-GR"/>
        </w:rPr>
      </w:pPr>
    </w:p>
    <w:p w:rsidR="008C79C5" w:rsidRPr="000770B2" w:rsidRDefault="008C79C5" w:rsidP="00F10829">
      <w:pPr>
        <w:spacing w:line="240" w:lineRule="auto"/>
        <w:ind w:right="-779"/>
        <w:jc w:val="center"/>
        <w:rPr>
          <w:rFonts w:ascii="Verdana" w:hAnsi="Verdana"/>
          <w:b/>
          <w:sz w:val="28"/>
          <w:szCs w:val="28"/>
          <w:lang w:val="el-GR"/>
        </w:rPr>
      </w:pPr>
    </w:p>
    <w:p w:rsidR="008C79C5" w:rsidRPr="000770B2" w:rsidRDefault="008C79C5" w:rsidP="00F10829">
      <w:pPr>
        <w:spacing w:line="240" w:lineRule="auto"/>
        <w:ind w:right="-779"/>
        <w:jc w:val="center"/>
        <w:rPr>
          <w:rFonts w:ascii="Verdana" w:hAnsi="Verdana"/>
          <w:b/>
          <w:sz w:val="28"/>
          <w:szCs w:val="28"/>
          <w:lang w:val="el-GR"/>
        </w:rPr>
      </w:pPr>
    </w:p>
    <w:p w:rsidR="008C79C5" w:rsidRPr="000770B2" w:rsidRDefault="008C79C5" w:rsidP="00F10829">
      <w:pPr>
        <w:spacing w:line="240" w:lineRule="auto"/>
        <w:ind w:right="-779"/>
        <w:jc w:val="center"/>
        <w:rPr>
          <w:rFonts w:ascii="Verdana" w:hAnsi="Verdana"/>
          <w:b/>
          <w:sz w:val="28"/>
          <w:szCs w:val="28"/>
          <w:lang w:val="el-GR"/>
        </w:rPr>
      </w:pPr>
    </w:p>
    <w:p w:rsidR="008C79C5" w:rsidRPr="000770B2" w:rsidRDefault="008C79C5" w:rsidP="00F10829">
      <w:pPr>
        <w:spacing w:line="240" w:lineRule="auto"/>
        <w:ind w:right="-779"/>
        <w:jc w:val="center"/>
        <w:rPr>
          <w:rFonts w:ascii="Verdana" w:hAnsi="Verdana"/>
          <w:b/>
          <w:sz w:val="28"/>
          <w:szCs w:val="28"/>
          <w:lang w:val="el-GR"/>
        </w:rPr>
      </w:pPr>
    </w:p>
    <w:p w:rsidR="008C79C5" w:rsidRPr="000770B2" w:rsidRDefault="008C79C5" w:rsidP="00F10829">
      <w:pPr>
        <w:spacing w:line="240" w:lineRule="auto"/>
        <w:ind w:right="-779"/>
        <w:jc w:val="center"/>
        <w:rPr>
          <w:rFonts w:ascii="Verdana" w:hAnsi="Verdana"/>
          <w:b/>
          <w:sz w:val="28"/>
          <w:szCs w:val="28"/>
          <w:lang w:val="el-GR"/>
        </w:rPr>
      </w:pPr>
    </w:p>
    <w:p w:rsidR="008C79C5" w:rsidRPr="000770B2" w:rsidRDefault="008C79C5" w:rsidP="00F10829">
      <w:pPr>
        <w:spacing w:line="240" w:lineRule="auto"/>
        <w:ind w:right="-779"/>
        <w:jc w:val="center"/>
        <w:rPr>
          <w:rFonts w:ascii="Verdana" w:hAnsi="Verdana"/>
          <w:b/>
          <w:sz w:val="28"/>
          <w:szCs w:val="28"/>
          <w:lang w:val="el-GR"/>
        </w:rPr>
      </w:pPr>
    </w:p>
    <w:p w:rsidR="00FB07AE" w:rsidRPr="000770B2" w:rsidRDefault="00FB07AE" w:rsidP="00F10829">
      <w:pPr>
        <w:spacing w:line="240" w:lineRule="auto"/>
        <w:ind w:right="-779"/>
        <w:jc w:val="center"/>
        <w:rPr>
          <w:rFonts w:ascii="Verdana" w:hAnsi="Verdana"/>
          <w:b/>
          <w:bCs/>
          <w:sz w:val="28"/>
          <w:szCs w:val="28"/>
          <w:lang w:val="el-GR"/>
        </w:rPr>
      </w:pPr>
      <w:r w:rsidRPr="000770B2">
        <w:rPr>
          <w:rFonts w:ascii="Verdana" w:hAnsi="Verdana"/>
          <w:b/>
          <w:sz w:val="28"/>
          <w:szCs w:val="28"/>
          <w:lang w:val="el-GR"/>
        </w:rPr>
        <w:lastRenderedPageBreak/>
        <w:t xml:space="preserve">περί </w:t>
      </w:r>
      <w:r w:rsidR="00F10829" w:rsidRPr="000770B2">
        <w:rPr>
          <w:rFonts w:ascii="Verdana" w:hAnsi="Verdana"/>
          <w:b/>
          <w:bCs/>
          <w:sz w:val="28"/>
          <w:szCs w:val="28"/>
          <w:lang w:val="el-GR"/>
        </w:rPr>
        <w:t xml:space="preserve">Ομορρύθμων και Ετερορρύθμων Εταιρειών και Εμπορικών Επωνυμιών </w:t>
      </w:r>
      <w:r w:rsidR="009F38AA" w:rsidRPr="000770B2">
        <w:rPr>
          <w:rFonts w:ascii="Verdana" w:hAnsi="Verdana"/>
          <w:b/>
          <w:bCs/>
          <w:sz w:val="28"/>
          <w:szCs w:val="28"/>
          <w:lang w:val="el-GR"/>
        </w:rPr>
        <w:t>(Τροποποιητικό</w:t>
      </w:r>
      <w:r w:rsidR="008C79C5" w:rsidRPr="000770B2">
        <w:rPr>
          <w:rFonts w:ascii="Verdana" w:hAnsi="Verdana"/>
          <w:b/>
          <w:bCs/>
          <w:sz w:val="28"/>
          <w:szCs w:val="28"/>
          <w:lang w:val="el-GR"/>
        </w:rPr>
        <w:t>ς</w:t>
      </w:r>
      <w:r w:rsidR="009F38AA" w:rsidRPr="000770B2">
        <w:rPr>
          <w:rFonts w:ascii="Verdana" w:hAnsi="Verdana"/>
          <w:b/>
          <w:bCs/>
          <w:sz w:val="28"/>
          <w:szCs w:val="28"/>
          <w:lang w:val="el-GR"/>
        </w:rPr>
        <w:t xml:space="preserve">) </w:t>
      </w:r>
      <w:r w:rsidR="009F38AA" w:rsidRPr="000770B2">
        <w:rPr>
          <w:rFonts w:ascii="Verdana" w:hAnsi="Verdana"/>
          <w:b/>
          <w:sz w:val="28"/>
          <w:szCs w:val="28"/>
          <w:lang w:val="el-GR"/>
        </w:rPr>
        <w:t>Νόμο</w:t>
      </w:r>
      <w:r w:rsidR="008C79C5" w:rsidRPr="000770B2">
        <w:rPr>
          <w:rFonts w:ascii="Verdana" w:hAnsi="Verdana"/>
          <w:b/>
          <w:sz w:val="28"/>
          <w:szCs w:val="28"/>
          <w:lang w:val="el-GR"/>
        </w:rPr>
        <w:t>ς</w:t>
      </w:r>
      <w:r w:rsidR="009F38AA" w:rsidRPr="000770B2">
        <w:rPr>
          <w:rFonts w:ascii="Verdana" w:hAnsi="Verdana"/>
          <w:b/>
          <w:sz w:val="28"/>
          <w:szCs w:val="28"/>
          <w:lang w:val="el-GR"/>
        </w:rPr>
        <w:t xml:space="preserve"> του 2018</w:t>
      </w:r>
    </w:p>
    <w:tbl>
      <w:tblPr>
        <w:tblStyle w:val="TableGrid"/>
        <w:tblW w:w="13788" w:type="dxa"/>
        <w:tblLook w:val="04A0"/>
      </w:tblPr>
      <w:tblGrid>
        <w:gridCol w:w="2652"/>
        <w:gridCol w:w="11136"/>
      </w:tblGrid>
      <w:tr w:rsidR="00375C19" w:rsidRPr="000770B2" w:rsidTr="00955651">
        <w:trPr>
          <w:trHeight w:val="164"/>
        </w:trPr>
        <w:tc>
          <w:tcPr>
            <w:tcW w:w="2652" w:type="dxa"/>
            <w:shd w:val="clear" w:color="auto" w:fill="BFBFBF" w:themeFill="background1" w:themeFillShade="BF"/>
            <w:vAlign w:val="center"/>
          </w:tcPr>
          <w:p w:rsidR="00375C19" w:rsidRPr="000770B2" w:rsidRDefault="00375C19" w:rsidP="003450FB">
            <w:pPr>
              <w:jc w:val="center"/>
              <w:rPr>
                <w:rFonts w:ascii="Verdana" w:hAnsi="Verdana"/>
                <w:b/>
                <w:lang w:val="el-GR"/>
              </w:rPr>
            </w:pPr>
            <w:r w:rsidRPr="000770B2">
              <w:rPr>
                <w:rFonts w:ascii="Verdana" w:hAnsi="Verdana"/>
                <w:b/>
                <w:lang w:val="el-GR"/>
              </w:rPr>
              <w:t>Τροποποιητικό Άρθρο</w:t>
            </w:r>
          </w:p>
        </w:tc>
        <w:tc>
          <w:tcPr>
            <w:tcW w:w="11136" w:type="dxa"/>
            <w:shd w:val="clear" w:color="auto" w:fill="BFBFBF" w:themeFill="background1" w:themeFillShade="BF"/>
            <w:vAlign w:val="center"/>
          </w:tcPr>
          <w:p w:rsidR="00375C19" w:rsidRPr="000770B2" w:rsidRDefault="00375C19" w:rsidP="003450FB">
            <w:pPr>
              <w:jc w:val="center"/>
              <w:rPr>
                <w:rFonts w:ascii="Verdana" w:hAnsi="Verdana"/>
                <w:b/>
                <w:lang w:val="el-GR"/>
              </w:rPr>
            </w:pPr>
            <w:r w:rsidRPr="000770B2">
              <w:rPr>
                <w:rFonts w:ascii="Verdana" w:hAnsi="Verdana"/>
                <w:b/>
                <w:lang w:val="el-GR"/>
              </w:rPr>
              <w:t>Περιγραφή</w:t>
            </w:r>
          </w:p>
        </w:tc>
      </w:tr>
      <w:tr w:rsidR="00375C19" w:rsidRPr="00FE3152" w:rsidTr="00955651">
        <w:trPr>
          <w:trHeight w:val="164"/>
        </w:trPr>
        <w:tc>
          <w:tcPr>
            <w:tcW w:w="2652" w:type="dxa"/>
          </w:tcPr>
          <w:p w:rsidR="00375C19" w:rsidRPr="000770B2" w:rsidRDefault="00375C19" w:rsidP="003450FB">
            <w:pPr>
              <w:rPr>
                <w:rFonts w:ascii="Verdana" w:hAnsi="Verdana"/>
                <w:lang w:val="el-GR"/>
              </w:rPr>
            </w:pPr>
            <w:r w:rsidRPr="000770B2">
              <w:rPr>
                <w:rFonts w:ascii="Verdana" w:hAnsi="Verdana"/>
                <w:lang w:val="el-GR"/>
              </w:rPr>
              <w:t>Άρθρο 2</w:t>
            </w:r>
          </w:p>
        </w:tc>
        <w:tc>
          <w:tcPr>
            <w:tcW w:w="11136" w:type="dxa"/>
          </w:tcPr>
          <w:p w:rsidR="00375C19" w:rsidRPr="000770B2" w:rsidRDefault="00375C19" w:rsidP="00404C51">
            <w:pPr>
              <w:jc w:val="both"/>
              <w:rPr>
                <w:rFonts w:ascii="Verdana" w:hAnsi="Verdana"/>
                <w:lang w:val="el-GR"/>
              </w:rPr>
            </w:pPr>
            <w:r w:rsidRPr="000770B2">
              <w:rPr>
                <w:rFonts w:ascii="Verdana" w:hAnsi="Verdana"/>
                <w:lang w:val="el-GR"/>
              </w:rPr>
              <w:t xml:space="preserve">Προσθήκη του όρου του Υπουργού. </w:t>
            </w:r>
          </w:p>
        </w:tc>
      </w:tr>
      <w:tr w:rsidR="00375C19" w:rsidRPr="00FE3152" w:rsidTr="00955651">
        <w:trPr>
          <w:trHeight w:val="164"/>
        </w:trPr>
        <w:tc>
          <w:tcPr>
            <w:tcW w:w="2652" w:type="dxa"/>
          </w:tcPr>
          <w:p w:rsidR="00375C19" w:rsidRPr="000770B2" w:rsidRDefault="00375C19" w:rsidP="0023209F">
            <w:pPr>
              <w:rPr>
                <w:rFonts w:ascii="Verdana" w:hAnsi="Verdana"/>
                <w:lang w:val="el-GR"/>
              </w:rPr>
            </w:pPr>
            <w:r w:rsidRPr="000770B2">
              <w:rPr>
                <w:rFonts w:ascii="Verdana" w:hAnsi="Verdana"/>
                <w:lang w:val="el-GR"/>
              </w:rPr>
              <w:t xml:space="preserve"> </w:t>
            </w:r>
          </w:p>
          <w:p w:rsidR="00375C19" w:rsidRPr="000770B2" w:rsidRDefault="00375C19" w:rsidP="0023209F">
            <w:pPr>
              <w:rPr>
                <w:rFonts w:ascii="Verdana" w:hAnsi="Verdana"/>
                <w:lang w:val="el-GR"/>
              </w:rPr>
            </w:pPr>
            <w:r w:rsidRPr="000770B2">
              <w:rPr>
                <w:rFonts w:ascii="Verdana" w:hAnsi="Verdana"/>
                <w:lang w:val="el-GR"/>
              </w:rPr>
              <w:t>Άρθρο 3</w:t>
            </w:r>
          </w:p>
        </w:tc>
        <w:tc>
          <w:tcPr>
            <w:tcW w:w="11136" w:type="dxa"/>
          </w:tcPr>
          <w:p w:rsidR="00375C19" w:rsidRPr="000770B2" w:rsidRDefault="00375C19" w:rsidP="00347950">
            <w:pPr>
              <w:jc w:val="both"/>
              <w:rPr>
                <w:rFonts w:ascii="Verdana" w:hAnsi="Verdana"/>
                <w:lang w:val="el-GR"/>
              </w:rPr>
            </w:pPr>
            <w:r w:rsidRPr="000770B2">
              <w:rPr>
                <w:rFonts w:ascii="Verdana" w:hAnsi="Verdana"/>
                <w:lang w:val="el-GR"/>
              </w:rPr>
              <w:t>Πρόνοια για δημοσιεύσεις στην ηλεκτρονική εφημερίδα του Εφόρου Εταιρειών.</w:t>
            </w:r>
          </w:p>
        </w:tc>
      </w:tr>
      <w:tr w:rsidR="00375C19" w:rsidRPr="00FE3152" w:rsidTr="00955651">
        <w:trPr>
          <w:trHeight w:val="164"/>
        </w:trPr>
        <w:tc>
          <w:tcPr>
            <w:tcW w:w="2652" w:type="dxa"/>
          </w:tcPr>
          <w:p w:rsidR="00375C19" w:rsidRPr="000770B2" w:rsidRDefault="00375C19" w:rsidP="00FE31CF">
            <w:pPr>
              <w:rPr>
                <w:rFonts w:ascii="Verdana" w:hAnsi="Verdana"/>
                <w:lang w:val="el-GR"/>
              </w:rPr>
            </w:pPr>
            <w:r w:rsidRPr="000770B2">
              <w:rPr>
                <w:rFonts w:ascii="Verdana" w:hAnsi="Verdana"/>
                <w:lang w:val="el-GR"/>
              </w:rPr>
              <w:t xml:space="preserve">Άρθρο 4 </w:t>
            </w:r>
          </w:p>
        </w:tc>
        <w:tc>
          <w:tcPr>
            <w:tcW w:w="11136" w:type="dxa"/>
          </w:tcPr>
          <w:p w:rsidR="00375C19" w:rsidRPr="000770B2" w:rsidRDefault="00375C19" w:rsidP="008E4A45">
            <w:pPr>
              <w:jc w:val="both"/>
              <w:rPr>
                <w:rFonts w:ascii="Verdana" w:hAnsi="Verdana"/>
                <w:lang w:val="el-GR"/>
              </w:rPr>
            </w:pPr>
            <w:r w:rsidRPr="000770B2">
              <w:rPr>
                <w:rFonts w:ascii="Verdana" w:hAnsi="Verdana"/>
                <w:lang w:val="el-GR"/>
              </w:rPr>
              <w:t>Απάλειψη υποχρέωσης υποβολής γραπτής δήλωσης για σκοπούς διευκόλυνσης της ηλεκτρονικής υποβολής (Σ1) .</w:t>
            </w:r>
          </w:p>
        </w:tc>
      </w:tr>
      <w:tr w:rsidR="00375C19" w:rsidRPr="00FE3152" w:rsidTr="00955651">
        <w:trPr>
          <w:trHeight w:val="654"/>
        </w:trPr>
        <w:tc>
          <w:tcPr>
            <w:tcW w:w="2652" w:type="dxa"/>
          </w:tcPr>
          <w:p w:rsidR="00375C19" w:rsidRPr="000770B2" w:rsidRDefault="00375C19" w:rsidP="0023209F">
            <w:pPr>
              <w:rPr>
                <w:rFonts w:ascii="Verdana" w:hAnsi="Verdana"/>
                <w:lang w:val="el-GR"/>
              </w:rPr>
            </w:pPr>
            <w:r w:rsidRPr="000770B2">
              <w:rPr>
                <w:rFonts w:ascii="Verdana" w:hAnsi="Verdana"/>
                <w:lang w:val="el-GR"/>
              </w:rPr>
              <w:t xml:space="preserve">Άρθρο 5 </w:t>
            </w:r>
          </w:p>
          <w:p w:rsidR="00375C19" w:rsidRPr="000770B2" w:rsidRDefault="00375C19" w:rsidP="0023209F">
            <w:pPr>
              <w:rPr>
                <w:rFonts w:ascii="Verdana" w:hAnsi="Verdana"/>
                <w:lang w:val="el-GR"/>
              </w:rPr>
            </w:pPr>
          </w:p>
        </w:tc>
        <w:tc>
          <w:tcPr>
            <w:tcW w:w="11136" w:type="dxa"/>
          </w:tcPr>
          <w:p w:rsidR="00375C19" w:rsidRPr="000770B2" w:rsidRDefault="00375C19" w:rsidP="00D2383D">
            <w:pPr>
              <w:jc w:val="both"/>
              <w:rPr>
                <w:rFonts w:ascii="Verdana" w:hAnsi="Verdana"/>
                <w:lang w:val="el-GR"/>
              </w:rPr>
            </w:pPr>
            <w:r w:rsidRPr="000770B2">
              <w:rPr>
                <w:rFonts w:ascii="Verdana" w:hAnsi="Verdana"/>
                <w:lang w:val="el-GR"/>
              </w:rPr>
              <w:t xml:space="preserve">Απλοποίηση των στοιχείων που ζητούνται για φυσικά πρόσωπα για την εγγραφή εμπορικής επωνυμίας (απάλειψη της λέξης χριστιανικά). </w:t>
            </w:r>
          </w:p>
        </w:tc>
      </w:tr>
      <w:tr w:rsidR="00375C19" w:rsidRPr="00FE3152" w:rsidTr="00955651">
        <w:trPr>
          <w:trHeight w:val="164"/>
        </w:trPr>
        <w:tc>
          <w:tcPr>
            <w:tcW w:w="2652" w:type="dxa"/>
          </w:tcPr>
          <w:p w:rsidR="00375C19" w:rsidRPr="000770B2" w:rsidRDefault="00375C19" w:rsidP="003450FB">
            <w:pPr>
              <w:rPr>
                <w:rFonts w:ascii="Verdana" w:hAnsi="Verdana"/>
                <w:lang w:val="el-GR"/>
              </w:rPr>
            </w:pPr>
          </w:p>
          <w:p w:rsidR="00375C19" w:rsidRPr="000770B2" w:rsidRDefault="00375C19" w:rsidP="003450FB">
            <w:pPr>
              <w:rPr>
                <w:rFonts w:ascii="Verdana" w:hAnsi="Verdana"/>
                <w:lang w:val="el-GR"/>
              </w:rPr>
            </w:pPr>
            <w:r w:rsidRPr="000770B2">
              <w:rPr>
                <w:rFonts w:ascii="Verdana" w:hAnsi="Verdana"/>
                <w:lang w:val="el-GR"/>
              </w:rPr>
              <w:t>Άρθρο 6</w:t>
            </w:r>
          </w:p>
        </w:tc>
        <w:tc>
          <w:tcPr>
            <w:tcW w:w="11136" w:type="dxa"/>
          </w:tcPr>
          <w:p w:rsidR="00375C19" w:rsidRPr="000770B2" w:rsidRDefault="00375C19" w:rsidP="00347950">
            <w:pPr>
              <w:jc w:val="both"/>
              <w:rPr>
                <w:rFonts w:ascii="Verdana" w:hAnsi="Verdana"/>
                <w:lang w:val="el-GR"/>
              </w:rPr>
            </w:pPr>
            <w:r w:rsidRPr="000770B2">
              <w:rPr>
                <w:rFonts w:ascii="Verdana" w:hAnsi="Verdana"/>
                <w:lang w:val="el-GR"/>
              </w:rPr>
              <w:t>(α) Απάλειψη υποχρέωσης υποβολής γραπτής δήλωσης για σκοπούς διευκόλυνσης της ηλεκτρονικής υποβολής (Σ1) .</w:t>
            </w:r>
          </w:p>
          <w:p w:rsidR="00375C19" w:rsidRPr="000770B2" w:rsidRDefault="00375C19" w:rsidP="00D2383D">
            <w:pPr>
              <w:jc w:val="both"/>
              <w:rPr>
                <w:rFonts w:ascii="Verdana" w:hAnsi="Verdana"/>
                <w:lang w:val="el-GR"/>
              </w:rPr>
            </w:pPr>
            <w:r w:rsidRPr="000770B2">
              <w:rPr>
                <w:rFonts w:ascii="Verdana" w:hAnsi="Verdana"/>
                <w:lang w:val="el-GR"/>
              </w:rPr>
              <w:t xml:space="preserve">(β) Απλοποίηση των υποχρεωτικών στοιχείων που ζητούνται για εγγραφή συνεταιρισμού (προηγούμενο όνομα, </w:t>
            </w:r>
            <w:r w:rsidRPr="000770B2">
              <w:rPr>
                <w:rFonts w:ascii="Verdana" w:hAnsi="Verdana"/>
                <w:bCs/>
                <w:lang w:val="el-GR"/>
              </w:rPr>
              <w:t>η εθνικότητα αντικαταστάθηκε με υπηκοότητα</w:t>
            </w:r>
            <w:r w:rsidRPr="000770B2">
              <w:rPr>
                <w:rFonts w:ascii="Verdana" w:hAnsi="Verdana"/>
                <w:lang w:val="el-GR"/>
              </w:rPr>
              <w:t>).</w:t>
            </w:r>
          </w:p>
        </w:tc>
      </w:tr>
      <w:tr w:rsidR="00375C19" w:rsidRPr="00FE3152" w:rsidTr="00955651">
        <w:trPr>
          <w:trHeight w:val="164"/>
        </w:trPr>
        <w:tc>
          <w:tcPr>
            <w:tcW w:w="2652" w:type="dxa"/>
          </w:tcPr>
          <w:p w:rsidR="00375C19" w:rsidRPr="000770B2" w:rsidRDefault="00375C19" w:rsidP="00FE31CF">
            <w:pPr>
              <w:rPr>
                <w:rFonts w:ascii="Verdana" w:hAnsi="Verdana"/>
                <w:lang w:val="el-GR"/>
              </w:rPr>
            </w:pPr>
          </w:p>
          <w:p w:rsidR="00375C19" w:rsidRPr="000770B2" w:rsidRDefault="00375C19" w:rsidP="00FE31CF">
            <w:pPr>
              <w:rPr>
                <w:rFonts w:ascii="Verdana" w:hAnsi="Verdana"/>
                <w:lang w:val="el-GR"/>
              </w:rPr>
            </w:pPr>
            <w:r w:rsidRPr="000770B2">
              <w:rPr>
                <w:rFonts w:ascii="Verdana" w:hAnsi="Verdana"/>
                <w:lang w:val="el-GR"/>
              </w:rPr>
              <w:t xml:space="preserve">Άρθρο 7 </w:t>
            </w:r>
          </w:p>
          <w:p w:rsidR="00375C19" w:rsidRPr="000770B2" w:rsidRDefault="00375C19" w:rsidP="00FE31CF">
            <w:pPr>
              <w:rPr>
                <w:rFonts w:ascii="Verdana" w:hAnsi="Verdana"/>
                <w:lang w:val="el-GR"/>
              </w:rPr>
            </w:pPr>
          </w:p>
        </w:tc>
        <w:tc>
          <w:tcPr>
            <w:tcW w:w="11136" w:type="dxa"/>
          </w:tcPr>
          <w:p w:rsidR="00375C19" w:rsidRPr="000770B2" w:rsidRDefault="00375C19" w:rsidP="00927821">
            <w:pPr>
              <w:jc w:val="both"/>
              <w:rPr>
                <w:rFonts w:ascii="Verdana" w:hAnsi="Verdana"/>
                <w:lang w:val="el-GR"/>
              </w:rPr>
            </w:pPr>
            <w:r w:rsidRPr="000770B2">
              <w:rPr>
                <w:rFonts w:ascii="Verdana" w:hAnsi="Verdana"/>
                <w:lang w:val="el-GR"/>
              </w:rPr>
              <w:t>(α) Διευκρινιστική αλλαγή για κοινοποίηση σε τύπο ο οποίος είναι καθορισμένος (ΕΕ1).</w:t>
            </w:r>
          </w:p>
          <w:p w:rsidR="00375C19" w:rsidRPr="000770B2" w:rsidRDefault="00375C19" w:rsidP="00D2383D">
            <w:pPr>
              <w:jc w:val="both"/>
              <w:rPr>
                <w:rFonts w:ascii="Verdana" w:hAnsi="Verdana"/>
                <w:lang w:val="el-GR"/>
              </w:rPr>
            </w:pPr>
            <w:r w:rsidRPr="000770B2">
              <w:rPr>
                <w:rFonts w:ascii="Verdana" w:hAnsi="Verdana"/>
                <w:lang w:val="el-GR"/>
              </w:rPr>
              <w:t xml:space="preserve">(β) Απλοποίηση των υποχρεωτικών στοιχείων που ζητούνται για εγγραφή εμπορικής επωνυμίας (προηγούμενο όνομα, </w:t>
            </w:r>
            <w:r w:rsidRPr="000770B2">
              <w:rPr>
                <w:rFonts w:ascii="Verdana" w:hAnsi="Verdana"/>
                <w:bCs/>
                <w:lang w:val="el-GR"/>
              </w:rPr>
              <w:t>η εθνικότητα αντικαταστάθηκε με υπηκοότητα</w:t>
            </w:r>
            <w:r w:rsidRPr="000770B2">
              <w:rPr>
                <w:rFonts w:ascii="Verdana" w:hAnsi="Verdana"/>
                <w:lang w:val="el-GR"/>
              </w:rPr>
              <w:t>).</w:t>
            </w:r>
          </w:p>
        </w:tc>
      </w:tr>
      <w:tr w:rsidR="00375C19" w:rsidRPr="00FE3152" w:rsidTr="00955651">
        <w:trPr>
          <w:trHeight w:val="164"/>
        </w:trPr>
        <w:tc>
          <w:tcPr>
            <w:tcW w:w="2652" w:type="dxa"/>
          </w:tcPr>
          <w:p w:rsidR="00375C19" w:rsidRPr="000770B2" w:rsidRDefault="00375C19" w:rsidP="003450FB">
            <w:pPr>
              <w:rPr>
                <w:rFonts w:ascii="Verdana" w:hAnsi="Verdana"/>
                <w:lang w:val="el-GR"/>
              </w:rPr>
            </w:pPr>
            <w:r w:rsidRPr="000770B2">
              <w:rPr>
                <w:rFonts w:ascii="Verdana" w:hAnsi="Verdana"/>
                <w:lang w:val="el-GR"/>
              </w:rPr>
              <w:t xml:space="preserve"> Άρθρο </w:t>
            </w:r>
            <w:r w:rsidRPr="000770B2">
              <w:rPr>
                <w:rFonts w:ascii="Verdana" w:hAnsi="Verdana"/>
                <w:lang w:val="en-GB"/>
              </w:rPr>
              <w:t>8</w:t>
            </w:r>
          </w:p>
        </w:tc>
        <w:tc>
          <w:tcPr>
            <w:tcW w:w="11136" w:type="dxa"/>
          </w:tcPr>
          <w:p w:rsidR="00375C19" w:rsidRPr="000770B2" w:rsidRDefault="00375C19" w:rsidP="00D2383D">
            <w:pPr>
              <w:jc w:val="both"/>
              <w:rPr>
                <w:rFonts w:ascii="Verdana" w:hAnsi="Verdana"/>
                <w:lang w:val="el-GR"/>
              </w:rPr>
            </w:pPr>
            <w:r w:rsidRPr="000770B2">
              <w:rPr>
                <w:rFonts w:ascii="Verdana" w:hAnsi="Verdana"/>
                <w:lang w:val="el-GR"/>
              </w:rPr>
              <w:t xml:space="preserve">Απλοποίηση των υποχρεωτικών στοιχείων που ζητούνται </w:t>
            </w:r>
            <w:r w:rsidRPr="000770B2">
              <w:rPr>
                <w:rFonts w:ascii="Verdana" w:hAnsi="Verdana"/>
                <w:bCs/>
                <w:lang w:val="el-GR"/>
              </w:rPr>
              <w:t xml:space="preserve">σε περίπτωση αντιπροσώπων που ενεργούν εκ μέρους άλλων ή επιτρόπων </w:t>
            </w:r>
            <w:proofErr w:type="spellStart"/>
            <w:r w:rsidRPr="000770B2">
              <w:rPr>
                <w:rFonts w:ascii="Verdana" w:hAnsi="Verdana"/>
                <w:bCs/>
                <w:lang w:val="el-GR"/>
              </w:rPr>
              <w:t>εμπιστευμάτων</w:t>
            </w:r>
            <w:proofErr w:type="spellEnd"/>
            <w:r w:rsidRPr="000770B2">
              <w:rPr>
                <w:rFonts w:ascii="Verdana" w:hAnsi="Verdana"/>
                <w:bCs/>
                <w:lang w:val="el-GR"/>
              </w:rPr>
              <w:t xml:space="preserve"> (προηγούμενο όνομα, η εθνικότητα αντικαταστάθηκε με υπηκοότητα).</w:t>
            </w:r>
          </w:p>
        </w:tc>
      </w:tr>
      <w:tr w:rsidR="00375C19" w:rsidRPr="00FE3152" w:rsidTr="00955651">
        <w:trPr>
          <w:trHeight w:val="164"/>
        </w:trPr>
        <w:tc>
          <w:tcPr>
            <w:tcW w:w="2652" w:type="dxa"/>
          </w:tcPr>
          <w:p w:rsidR="00375C19" w:rsidRPr="000770B2" w:rsidRDefault="00375C19" w:rsidP="007B023D">
            <w:pPr>
              <w:rPr>
                <w:rFonts w:ascii="Verdana" w:hAnsi="Verdana"/>
                <w:lang w:val="el-GR"/>
              </w:rPr>
            </w:pPr>
            <w:r w:rsidRPr="000770B2">
              <w:rPr>
                <w:rFonts w:ascii="Verdana" w:hAnsi="Verdana"/>
                <w:lang w:val="el-GR"/>
              </w:rPr>
              <w:t xml:space="preserve"> Άρθρο </w:t>
            </w:r>
            <w:r w:rsidRPr="000770B2">
              <w:rPr>
                <w:rFonts w:ascii="Verdana" w:hAnsi="Verdana"/>
                <w:lang w:val="en-GB"/>
              </w:rPr>
              <w:t>9</w:t>
            </w:r>
          </w:p>
        </w:tc>
        <w:tc>
          <w:tcPr>
            <w:tcW w:w="11136" w:type="dxa"/>
          </w:tcPr>
          <w:p w:rsidR="00375C19" w:rsidRPr="000770B2" w:rsidRDefault="00375C19" w:rsidP="007B023D">
            <w:pPr>
              <w:jc w:val="both"/>
              <w:rPr>
                <w:rFonts w:ascii="Verdana" w:hAnsi="Verdana"/>
                <w:lang w:val="el-GR"/>
              </w:rPr>
            </w:pPr>
            <w:r w:rsidRPr="000770B2">
              <w:rPr>
                <w:rFonts w:ascii="Verdana" w:hAnsi="Verdana"/>
                <w:lang w:val="el-GR"/>
              </w:rPr>
              <w:t xml:space="preserve">Εισαγωγή δυνατότητας διαγραφής εμπορικής επωνυμίας/συνεταιρισμού από το μητρώο αν παραλείπει να καταχωρήσει έγγραφο που υποχρεούται βάσει του Νόμου, μετά από 6 μήνες που του στάλθηκε ειδοποίηση προς συμμόρφωση. </w:t>
            </w:r>
          </w:p>
        </w:tc>
      </w:tr>
      <w:tr w:rsidR="00375C19" w:rsidRPr="00FE3152" w:rsidTr="00955651">
        <w:trPr>
          <w:trHeight w:val="164"/>
        </w:trPr>
        <w:tc>
          <w:tcPr>
            <w:tcW w:w="2652" w:type="dxa"/>
          </w:tcPr>
          <w:p w:rsidR="00375C19" w:rsidRPr="000770B2" w:rsidRDefault="00375C19" w:rsidP="007B023D">
            <w:pPr>
              <w:rPr>
                <w:rFonts w:ascii="Verdana" w:hAnsi="Verdana"/>
                <w:lang w:val="el-GR"/>
              </w:rPr>
            </w:pPr>
            <w:r w:rsidRPr="000770B2">
              <w:rPr>
                <w:rFonts w:ascii="Verdana" w:hAnsi="Verdana"/>
                <w:lang w:val="el-GR"/>
              </w:rPr>
              <w:t xml:space="preserve"> Άρθρο 10</w:t>
            </w:r>
          </w:p>
        </w:tc>
        <w:tc>
          <w:tcPr>
            <w:tcW w:w="11136" w:type="dxa"/>
          </w:tcPr>
          <w:p w:rsidR="00375C19" w:rsidRPr="000770B2" w:rsidRDefault="00375C19" w:rsidP="007B023D">
            <w:pPr>
              <w:jc w:val="both"/>
              <w:rPr>
                <w:rFonts w:ascii="Verdana" w:hAnsi="Verdana"/>
                <w:lang w:val="el-GR"/>
              </w:rPr>
            </w:pPr>
            <w:r w:rsidRPr="000770B2">
              <w:rPr>
                <w:rFonts w:ascii="Verdana" w:hAnsi="Verdana"/>
                <w:lang w:val="el-GR"/>
              </w:rPr>
              <w:t>Πρόνοια για δημοσιεύσεις στην ηλεκτρονική εφημερίδα του Εφόρου Εταιρειών.</w:t>
            </w:r>
          </w:p>
        </w:tc>
      </w:tr>
      <w:tr w:rsidR="00375C19" w:rsidRPr="00FE3152" w:rsidTr="00955651">
        <w:trPr>
          <w:trHeight w:val="164"/>
        </w:trPr>
        <w:tc>
          <w:tcPr>
            <w:tcW w:w="2652" w:type="dxa"/>
          </w:tcPr>
          <w:p w:rsidR="00375C19" w:rsidRPr="000770B2" w:rsidDel="00950F57" w:rsidRDefault="00375C19" w:rsidP="00950F57">
            <w:pPr>
              <w:rPr>
                <w:rFonts w:ascii="Verdana" w:hAnsi="Verdana"/>
                <w:lang w:val="el-GR"/>
              </w:rPr>
            </w:pPr>
            <w:r w:rsidRPr="000770B2">
              <w:rPr>
                <w:rFonts w:ascii="Verdana" w:hAnsi="Verdana"/>
                <w:lang w:val="el-GR"/>
              </w:rPr>
              <w:t>Άρθρο 11</w:t>
            </w:r>
          </w:p>
        </w:tc>
        <w:tc>
          <w:tcPr>
            <w:tcW w:w="11136" w:type="dxa"/>
          </w:tcPr>
          <w:p w:rsidR="00375C19" w:rsidRPr="000770B2" w:rsidRDefault="00375C19" w:rsidP="007B023D">
            <w:pPr>
              <w:jc w:val="both"/>
              <w:rPr>
                <w:rFonts w:ascii="Verdana" w:hAnsi="Verdana"/>
                <w:lang w:val="el-GR"/>
              </w:rPr>
            </w:pPr>
            <w:r w:rsidRPr="000770B2">
              <w:rPr>
                <w:rFonts w:ascii="Verdana" w:hAnsi="Verdana"/>
                <w:lang w:val="el-GR"/>
              </w:rPr>
              <w:t xml:space="preserve">Διαγραφή του υφιστάμενου άρθρου αναφορικά με την ποινή για παράλειψη εγγραφής ένα χρόνο μετά τη δημοσίευση του Νόμου. </w:t>
            </w:r>
          </w:p>
        </w:tc>
      </w:tr>
      <w:tr w:rsidR="00375C19" w:rsidRPr="00FE3152" w:rsidTr="00955651">
        <w:trPr>
          <w:trHeight w:val="164"/>
        </w:trPr>
        <w:tc>
          <w:tcPr>
            <w:tcW w:w="2652" w:type="dxa"/>
          </w:tcPr>
          <w:p w:rsidR="00375C19" w:rsidRPr="000770B2" w:rsidRDefault="00375C19" w:rsidP="00FE14F9">
            <w:pPr>
              <w:rPr>
                <w:rFonts w:ascii="Verdana" w:hAnsi="Verdana"/>
                <w:lang w:val="el-GR"/>
              </w:rPr>
            </w:pPr>
            <w:r w:rsidRPr="000770B2">
              <w:rPr>
                <w:rFonts w:ascii="Verdana" w:hAnsi="Verdana"/>
                <w:lang w:val="el-GR"/>
              </w:rPr>
              <w:t xml:space="preserve"> Άρθρο 12</w:t>
            </w:r>
          </w:p>
        </w:tc>
        <w:tc>
          <w:tcPr>
            <w:tcW w:w="11136" w:type="dxa"/>
          </w:tcPr>
          <w:p w:rsidR="00375C19" w:rsidRPr="000770B2" w:rsidRDefault="00375C19" w:rsidP="00A26C7E">
            <w:pPr>
              <w:jc w:val="both"/>
              <w:rPr>
                <w:rFonts w:ascii="Verdana" w:hAnsi="Verdana"/>
                <w:lang w:val="el-GR"/>
              </w:rPr>
            </w:pPr>
            <w:r w:rsidRPr="000770B2">
              <w:rPr>
                <w:rFonts w:ascii="Verdana" w:hAnsi="Verdana"/>
                <w:lang w:val="el-GR"/>
              </w:rPr>
              <w:t>(α) Εισαγωγή χρηματικής επιβάρυνσης εκπρόθεσμης καταχώρησης για το έντυπο για αλλαγή του τόπου εργασίας οίκου (Σ2), φυσικού ή νομικού προσώπου (ΕΕ2) και/ή αλλαγή στα στοιχεία φυσικού ή νομικού προσώπου ιδιοκτήτη εμπορικής επωνυμίας (ΕΕ2) και/ή αλλαγή στα στοιχεία υφιστάμενου συνεταίρου και/ή διορισμό νέου συνεταίρου και/ή παύση υφιστάμενου συνεταίρου (Σ2).</w:t>
            </w:r>
          </w:p>
        </w:tc>
      </w:tr>
      <w:tr w:rsidR="00375C19" w:rsidRPr="00FE3152" w:rsidTr="00955651">
        <w:trPr>
          <w:trHeight w:val="164"/>
        </w:trPr>
        <w:tc>
          <w:tcPr>
            <w:tcW w:w="2652" w:type="dxa"/>
          </w:tcPr>
          <w:p w:rsidR="00375C19" w:rsidRPr="000770B2" w:rsidRDefault="00375C19" w:rsidP="00DA5CBD">
            <w:pPr>
              <w:rPr>
                <w:rFonts w:ascii="Verdana" w:hAnsi="Verdana"/>
                <w:lang w:val="el-GR"/>
              </w:rPr>
            </w:pPr>
            <w:r w:rsidRPr="000770B2">
              <w:rPr>
                <w:rFonts w:ascii="Verdana" w:hAnsi="Verdana"/>
                <w:lang w:val="el-GR"/>
              </w:rPr>
              <w:lastRenderedPageBreak/>
              <w:t xml:space="preserve"> Άρθρο 13</w:t>
            </w:r>
          </w:p>
        </w:tc>
        <w:tc>
          <w:tcPr>
            <w:tcW w:w="11136" w:type="dxa"/>
          </w:tcPr>
          <w:p w:rsidR="00375C19" w:rsidRPr="000770B2" w:rsidRDefault="00375C19" w:rsidP="007B023D">
            <w:pPr>
              <w:jc w:val="both"/>
              <w:rPr>
                <w:rFonts w:ascii="Verdana" w:hAnsi="Verdana"/>
                <w:lang w:val="el-GR"/>
              </w:rPr>
            </w:pPr>
            <w:r w:rsidRPr="000770B2">
              <w:rPr>
                <w:rFonts w:ascii="Verdana" w:hAnsi="Verdana"/>
                <w:lang w:val="el-GR"/>
              </w:rPr>
              <w:t>(α) Διευκρινιστική αλλαγή για κοινοποίηση σε τύπο ο οποίος είναι καθορισμένος (Σ5).</w:t>
            </w:r>
          </w:p>
          <w:p w:rsidR="00375C19" w:rsidRPr="000770B2" w:rsidRDefault="00375C19" w:rsidP="007B023D">
            <w:pPr>
              <w:jc w:val="both"/>
              <w:rPr>
                <w:rFonts w:ascii="Verdana" w:hAnsi="Verdana"/>
                <w:lang w:val="el-GR"/>
              </w:rPr>
            </w:pPr>
            <w:r w:rsidRPr="000770B2">
              <w:rPr>
                <w:rFonts w:ascii="Verdana" w:hAnsi="Verdana"/>
                <w:lang w:val="el-GR"/>
              </w:rPr>
              <w:t>(β) Εισαγωγή χρηματικής επιβάρυνσης εκπρόθεσμης καταχώρησης για την καταχώρηση της ετήσιας έκθεσης (Σ5).</w:t>
            </w:r>
          </w:p>
        </w:tc>
      </w:tr>
      <w:tr w:rsidR="00375C19" w:rsidRPr="00FE3152" w:rsidTr="00955651">
        <w:trPr>
          <w:trHeight w:val="164"/>
        </w:trPr>
        <w:tc>
          <w:tcPr>
            <w:tcW w:w="2652" w:type="dxa"/>
          </w:tcPr>
          <w:p w:rsidR="00375C19" w:rsidRPr="000770B2" w:rsidRDefault="00375C19" w:rsidP="00BD1F5C">
            <w:pPr>
              <w:rPr>
                <w:rFonts w:ascii="Verdana" w:hAnsi="Verdana"/>
                <w:lang w:val="el-GR"/>
              </w:rPr>
            </w:pPr>
            <w:r w:rsidRPr="000770B2">
              <w:rPr>
                <w:rFonts w:ascii="Verdana" w:hAnsi="Verdana"/>
                <w:lang w:val="el-GR"/>
              </w:rPr>
              <w:t xml:space="preserve"> Άρθρο 14</w:t>
            </w:r>
          </w:p>
        </w:tc>
        <w:tc>
          <w:tcPr>
            <w:tcW w:w="11136" w:type="dxa"/>
          </w:tcPr>
          <w:p w:rsidR="00375C19" w:rsidRPr="000770B2" w:rsidRDefault="00375C19" w:rsidP="007B023D">
            <w:pPr>
              <w:jc w:val="both"/>
              <w:rPr>
                <w:rFonts w:ascii="Verdana" w:hAnsi="Verdana"/>
                <w:lang w:val="el-GR"/>
              </w:rPr>
            </w:pPr>
            <w:r w:rsidRPr="000770B2">
              <w:rPr>
                <w:rFonts w:ascii="Verdana" w:hAnsi="Verdana"/>
                <w:lang w:val="el-GR"/>
              </w:rPr>
              <w:t xml:space="preserve"> Απλοποίησης των στοιχείων που υποχρεωτικά ζητούνται για την υποχρέωση </w:t>
            </w:r>
            <w:r w:rsidRPr="000770B2">
              <w:rPr>
                <w:rFonts w:ascii="Verdana" w:hAnsi="Verdana"/>
                <w:bCs/>
                <w:color w:val="000000"/>
                <w:sz w:val="23"/>
                <w:szCs w:val="23"/>
                <w:lang w:val="el-GR"/>
              </w:rPr>
              <w:t>δημοσίευσης αληθών ονομάτων (προηγούμενο όνομα, ιθαγένεια αν δεν είναι Βρετανική, χριστιανικό όνομα).</w:t>
            </w:r>
          </w:p>
        </w:tc>
      </w:tr>
      <w:tr w:rsidR="00375C19" w:rsidRPr="00FE3152" w:rsidTr="00955651">
        <w:trPr>
          <w:trHeight w:val="164"/>
        </w:trPr>
        <w:tc>
          <w:tcPr>
            <w:tcW w:w="2652" w:type="dxa"/>
          </w:tcPr>
          <w:p w:rsidR="00375C19" w:rsidRPr="000770B2" w:rsidRDefault="00375C19" w:rsidP="007B023D">
            <w:pPr>
              <w:rPr>
                <w:rFonts w:ascii="Verdana" w:hAnsi="Verdana"/>
              </w:rPr>
            </w:pPr>
            <w:r w:rsidRPr="000770B2">
              <w:rPr>
                <w:rFonts w:ascii="Verdana" w:hAnsi="Verdana"/>
                <w:lang w:val="el-GR"/>
              </w:rPr>
              <w:t>Άρθρο 15</w:t>
            </w:r>
          </w:p>
        </w:tc>
        <w:tc>
          <w:tcPr>
            <w:tcW w:w="11136" w:type="dxa"/>
          </w:tcPr>
          <w:p w:rsidR="00375C19" w:rsidRPr="000770B2" w:rsidRDefault="00375C19" w:rsidP="007B023D">
            <w:pPr>
              <w:jc w:val="both"/>
              <w:rPr>
                <w:rFonts w:ascii="Verdana" w:hAnsi="Verdana"/>
                <w:lang w:val="el-GR"/>
              </w:rPr>
            </w:pPr>
            <w:r w:rsidRPr="000770B2">
              <w:rPr>
                <w:rFonts w:ascii="Verdana" w:hAnsi="Verdana"/>
                <w:lang w:val="el-GR"/>
              </w:rPr>
              <w:t>(α) Απλοποίηση της διαδικασίας καθορισμού των εντύπων διαμέσου της απάλειψης της δημιουργίας κανονισμών που κατατίθενται στη Βουλή των Αντιπροσώπων.</w:t>
            </w:r>
          </w:p>
          <w:p w:rsidR="00375C19" w:rsidRPr="000770B2" w:rsidRDefault="00375C19" w:rsidP="007B023D">
            <w:pPr>
              <w:jc w:val="both"/>
              <w:rPr>
                <w:rFonts w:ascii="Verdana" w:hAnsi="Verdana"/>
                <w:lang w:val="el-GR"/>
              </w:rPr>
            </w:pPr>
            <w:r w:rsidRPr="000770B2">
              <w:rPr>
                <w:rFonts w:ascii="Verdana" w:hAnsi="Verdana"/>
                <w:lang w:val="el-GR"/>
              </w:rPr>
              <w:t>(β) Δημιουργία νέου εδαφίου σύμφωνα με το οποίο ο Υπουργός με διάταγμα θα δύναται να καθορίζει και ρυθμίζει τους τύπους που θα χρησιμοποιηθούν για οποιοδήποτε θέμα με βάση τις διατάξεις του νόμου.</w:t>
            </w:r>
          </w:p>
        </w:tc>
      </w:tr>
      <w:tr w:rsidR="00375C19" w:rsidRPr="000770B2" w:rsidTr="00955651">
        <w:trPr>
          <w:trHeight w:val="164"/>
        </w:trPr>
        <w:tc>
          <w:tcPr>
            <w:tcW w:w="2652" w:type="dxa"/>
          </w:tcPr>
          <w:p w:rsidR="00375C19" w:rsidRPr="000770B2" w:rsidRDefault="00375C19" w:rsidP="007B023D">
            <w:pPr>
              <w:rPr>
                <w:rFonts w:ascii="Verdana" w:hAnsi="Verdana"/>
              </w:rPr>
            </w:pPr>
            <w:r w:rsidRPr="000770B2">
              <w:rPr>
                <w:rFonts w:ascii="Verdana" w:hAnsi="Verdana"/>
                <w:lang w:val="el-GR"/>
              </w:rPr>
              <w:t xml:space="preserve"> Άρθρο 16</w:t>
            </w:r>
          </w:p>
        </w:tc>
        <w:tc>
          <w:tcPr>
            <w:tcW w:w="11136" w:type="dxa"/>
          </w:tcPr>
          <w:p w:rsidR="00375C19" w:rsidRPr="000770B2" w:rsidRDefault="00375C19" w:rsidP="007B023D">
            <w:pPr>
              <w:jc w:val="both"/>
              <w:rPr>
                <w:rFonts w:ascii="Verdana" w:hAnsi="Verdana"/>
                <w:lang w:val="el-GR"/>
              </w:rPr>
            </w:pPr>
            <w:r w:rsidRPr="000770B2">
              <w:rPr>
                <w:rFonts w:ascii="Verdana" w:hAnsi="Verdana"/>
                <w:lang w:val="el-GR"/>
              </w:rPr>
              <w:t>Έναρξη ισχύος του νόμου.</w:t>
            </w:r>
          </w:p>
        </w:tc>
      </w:tr>
    </w:tbl>
    <w:p w:rsidR="00044384" w:rsidRPr="000770B2" w:rsidRDefault="00044384" w:rsidP="00044384">
      <w:pPr>
        <w:spacing w:after="0" w:line="240" w:lineRule="auto"/>
        <w:rPr>
          <w:rFonts w:ascii="Verdana" w:hAnsi="Verdana"/>
          <w:lang w:val="el-GR"/>
        </w:rPr>
      </w:pPr>
    </w:p>
    <w:p w:rsidR="001B2CE6" w:rsidRPr="000770B2" w:rsidRDefault="001B2CE6" w:rsidP="00044384">
      <w:pPr>
        <w:spacing w:after="0" w:line="240" w:lineRule="auto"/>
        <w:jc w:val="center"/>
        <w:rPr>
          <w:rFonts w:ascii="Verdana" w:hAnsi="Verdana"/>
          <w:b/>
          <w:sz w:val="28"/>
          <w:szCs w:val="28"/>
          <w:lang w:val="el-GR"/>
        </w:rPr>
      </w:pPr>
    </w:p>
    <w:p w:rsidR="001B2CE6" w:rsidRPr="000770B2" w:rsidRDefault="001B2CE6" w:rsidP="00044384">
      <w:pPr>
        <w:spacing w:after="0" w:line="240" w:lineRule="auto"/>
        <w:jc w:val="center"/>
        <w:rPr>
          <w:rFonts w:ascii="Verdana" w:hAnsi="Verdana"/>
          <w:b/>
          <w:sz w:val="28"/>
          <w:szCs w:val="28"/>
          <w:lang w:val="el-GR"/>
        </w:rPr>
      </w:pPr>
    </w:p>
    <w:p w:rsidR="00F1134C" w:rsidRPr="000770B2" w:rsidRDefault="00F1134C" w:rsidP="00044384">
      <w:pPr>
        <w:spacing w:after="0" w:line="240" w:lineRule="auto"/>
        <w:jc w:val="center"/>
        <w:rPr>
          <w:rFonts w:ascii="Verdana" w:hAnsi="Verdana"/>
          <w:b/>
          <w:sz w:val="28"/>
          <w:szCs w:val="28"/>
          <w:lang w:val="el-GR"/>
        </w:rPr>
      </w:pPr>
    </w:p>
    <w:p w:rsidR="00F1134C" w:rsidRPr="000770B2" w:rsidRDefault="00F1134C" w:rsidP="00044384">
      <w:pPr>
        <w:spacing w:after="0" w:line="240" w:lineRule="auto"/>
        <w:jc w:val="center"/>
        <w:rPr>
          <w:rFonts w:ascii="Verdana" w:hAnsi="Verdana"/>
          <w:b/>
          <w:sz w:val="28"/>
          <w:szCs w:val="28"/>
        </w:rPr>
      </w:pPr>
    </w:p>
    <w:p w:rsidR="00FF6DD8" w:rsidRPr="000770B2" w:rsidRDefault="00FF6DD8" w:rsidP="00044384">
      <w:pPr>
        <w:spacing w:after="0" w:line="240" w:lineRule="auto"/>
        <w:jc w:val="center"/>
        <w:rPr>
          <w:rFonts w:ascii="Verdana" w:hAnsi="Verdana"/>
          <w:b/>
          <w:sz w:val="28"/>
          <w:szCs w:val="28"/>
          <w:lang w:val="el-GR"/>
        </w:rPr>
      </w:pPr>
    </w:p>
    <w:p w:rsidR="00375C19" w:rsidRPr="000770B2" w:rsidRDefault="00375C19" w:rsidP="00044384">
      <w:pPr>
        <w:spacing w:after="0" w:line="240" w:lineRule="auto"/>
        <w:jc w:val="center"/>
        <w:rPr>
          <w:rFonts w:ascii="Verdana" w:hAnsi="Verdana"/>
          <w:b/>
          <w:sz w:val="28"/>
          <w:szCs w:val="28"/>
          <w:lang w:val="el-GR"/>
        </w:rPr>
      </w:pPr>
    </w:p>
    <w:p w:rsidR="00375C19" w:rsidRPr="000770B2" w:rsidRDefault="00375C19" w:rsidP="00044384">
      <w:pPr>
        <w:spacing w:after="0" w:line="240" w:lineRule="auto"/>
        <w:jc w:val="center"/>
        <w:rPr>
          <w:rFonts w:ascii="Verdana" w:hAnsi="Verdana"/>
          <w:b/>
          <w:sz w:val="28"/>
          <w:szCs w:val="28"/>
          <w:lang w:val="el-GR"/>
        </w:rPr>
      </w:pPr>
    </w:p>
    <w:p w:rsidR="00375C19" w:rsidRPr="000770B2" w:rsidRDefault="00375C19" w:rsidP="00044384">
      <w:pPr>
        <w:spacing w:after="0" w:line="240" w:lineRule="auto"/>
        <w:jc w:val="center"/>
        <w:rPr>
          <w:rFonts w:ascii="Verdana" w:hAnsi="Verdana"/>
          <w:b/>
          <w:sz w:val="28"/>
          <w:szCs w:val="28"/>
          <w:lang w:val="el-GR"/>
        </w:rPr>
      </w:pPr>
    </w:p>
    <w:p w:rsidR="00375C19" w:rsidRPr="000770B2" w:rsidRDefault="00375C19" w:rsidP="00044384">
      <w:pPr>
        <w:spacing w:after="0" w:line="240" w:lineRule="auto"/>
        <w:jc w:val="center"/>
        <w:rPr>
          <w:rFonts w:ascii="Verdana" w:hAnsi="Verdana"/>
          <w:b/>
          <w:sz w:val="28"/>
          <w:szCs w:val="28"/>
          <w:lang w:val="el-GR"/>
        </w:rPr>
      </w:pPr>
    </w:p>
    <w:p w:rsidR="00375C19" w:rsidRPr="000770B2" w:rsidRDefault="00375C19" w:rsidP="00044384">
      <w:pPr>
        <w:spacing w:after="0" w:line="240" w:lineRule="auto"/>
        <w:jc w:val="center"/>
        <w:rPr>
          <w:rFonts w:ascii="Verdana" w:hAnsi="Verdana"/>
          <w:b/>
          <w:sz w:val="28"/>
          <w:szCs w:val="28"/>
          <w:lang w:val="el-GR"/>
        </w:rPr>
      </w:pPr>
    </w:p>
    <w:p w:rsidR="00375C19" w:rsidRPr="000770B2" w:rsidRDefault="00375C19" w:rsidP="00044384">
      <w:pPr>
        <w:spacing w:after="0" w:line="240" w:lineRule="auto"/>
        <w:jc w:val="center"/>
        <w:rPr>
          <w:rFonts w:ascii="Verdana" w:hAnsi="Verdana"/>
          <w:b/>
          <w:sz w:val="28"/>
          <w:szCs w:val="28"/>
          <w:lang w:val="el-GR"/>
        </w:rPr>
      </w:pPr>
    </w:p>
    <w:p w:rsidR="00375C19" w:rsidRPr="000770B2" w:rsidRDefault="00375C19" w:rsidP="00044384">
      <w:pPr>
        <w:spacing w:after="0" w:line="240" w:lineRule="auto"/>
        <w:jc w:val="center"/>
        <w:rPr>
          <w:rFonts w:ascii="Verdana" w:hAnsi="Verdana"/>
          <w:b/>
          <w:sz w:val="28"/>
          <w:szCs w:val="28"/>
          <w:lang w:val="el-GR"/>
        </w:rPr>
      </w:pPr>
    </w:p>
    <w:p w:rsidR="00FF6DD8" w:rsidRDefault="00FF6DD8" w:rsidP="00044384">
      <w:pPr>
        <w:spacing w:after="0" w:line="240" w:lineRule="auto"/>
        <w:jc w:val="center"/>
        <w:rPr>
          <w:rFonts w:ascii="Verdana" w:hAnsi="Verdana"/>
          <w:b/>
          <w:sz w:val="28"/>
          <w:szCs w:val="28"/>
          <w:lang w:val="el-GR"/>
        </w:rPr>
      </w:pPr>
    </w:p>
    <w:p w:rsidR="00EF3D86" w:rsidRPr="00EF3D86" w:rsidRDefault="00EF3D86" w:rsidP="00044384">
      <w:pPr>
        <w:spacing w:after="0" w:line="240" w:lineRule="auto"/>
        <w:jc w:val="center"/>
        <w:rPr>
          <w:rFonts w:ascii="Verdana" w:hAnsi="Verdana"/>
          <w:b/>
          <w:sz w:val="28"/>
          <w:szCs w:val="28"/>
          <w:lang w:val="el-GR"/>
        </w:rPr>
      </w:pPr>
    </w:p>
    <w:p w:rsidR="00FF6DD8" w:rsidRPr="000770B2" w:rsidRDefault="00FF6DD8" w:rsidP="00044384">
      <w:pPr>
        <w:spacing w:after="0" w:line="240" w:lineRule="auto"/>
        <w:jc w:val="center"/>
        <w:rPr>
          <w:rFonts w:ascii="Verdana" w:hAnsi="Verdana"/>
          <w:b/>
          <w:sz w:val="28"/>
          <w:szCs w:val="28"/>
        </w:rPr>
      </w:pPr>
    </w:p>
    <w:p w:rsidR="00FF6DD8" w:rsidRPr="000770B2" w:rsidRDefault="00FF6DD8" w:rsidP="00044384">
      <w:pPr>
        <w:spacing w:after="0" w:line="240" w:lineRule="auto"/>
        <w:jc w:val="center"/>
        <w:rPr>
          <w:rFonts w:ascii="Verdana" w:hAnsi="Verdana"/>
          <w:b/>
          <w:sz w:val="28"/>
          <w:szCs w:val="28"/>
        </w:rPr>
      </w:pPr>
    </w:p>
    <w:p w:rsidR="00FF6DD8" w:rsidRPr="000770B2" w:rsidRDefault="00FF6DD8" w:rsidP="00044384">
      <w:pPr>
        <w:spacing w:after="0" w:line="240" w:lineRule="auto"/>
        <w:jc w:val="center"/>
        <w:rPr>
          <w:rFonts w:ascii="Verdana" w:hAnsi="Verdana"/>
          <w:b/>
          <w:sz w:val="28"/>
          <w:szCs w:val="28"/>
        </w:rPr>
      </w:pPr>
    </w:p>
    <w:p w:rsidR="00044384" w:rsidRPr="000770B2" w:rsidRDefault="00044384" w:rsidP="00044384">
      <w:pPr>
        <w:spacing w:after="0" w:line="240" w:lineRule="auto"/>
        <w:jc w:val="center"/>
        <w:rPr>
          <w:rFonts w:ascii="Verdana" w:hAnsi="Verdana"/>
          <w:b/>
          <w:sz w:val="28"/>
          <w:szCs w:val="28"/>
          <w:lang w:val="el-GR"/>
        </w:rPr>
      </w:pPr>
      <w:r w:rsidRPr="000770B2">
        <w:rPr>
          <w:rFonts w:ascii="Verdana" w:hAnsi="Verdana"/>
          <w:b/>
          <w:sz w:val="28"/>
          <w:szCs w:val="28"/>
          <w:lang w:val="el-GR"/>
        </w:rPr>
        <w:lastRenderedPageBreak/>
        <w:t>περί Εταιρειών (Τροποποιητικο</w:t>
      </w:r>
      <w:r w:rsidR="008C79C5" w:rsidRPr="000770B2">
        <w:rPr>
          <w:rFonts w:ascii="Verdana" w:hAnsi="Verdana"/>
          <w:b/>
          <w:sz w:val="28"/>
          <w:szCs w:val="28"/>
          <w:lang w:val="el-GR"/>
        </w:rPr>
        <w:t>ί</w:t>
      </w:r>
      <w:r w:rsidRPr="000770B2">
        <w:rPr>
          <w:rFonts w:ascii="Verdana" w:hAnsi="Verdana"/>
          <w:b/>
          <w:sz w:val="28"/>
          <w:szCs w:val="28"/>
          <w:lang w:val="el-GR"/>
        </w:rPr>
        <w:t>) Κανονισμο</w:t>
      </w:r>
      <w:r w:rsidR="008C79C5" w:rsidRPr="000770B2">
        <w:rPr>
          <w:rFonts w:ascii="Verdana" w:hAnsi="Verdana"/>
          <w:b/>
          <w:sz w:val="28"/>
          <w:szCs w:val="28"/>
          <w:lang w:val="el-GR"/>
        </w:rPr>
        <w:t>ί</w:t>
      </w:r>
      <w:r w:rsidRPr="000770B2">
        <w:rPr>
          <w:rFonts w:ascii="Verdana" w:hAnsi="Verdana"/>
          <w:b/>
          <w:sz w:val="28"/>
          <w:szCs w:val="28"/>
          <w:lang w:val="el-GR"/>
        </w:rPr>
        <w:t xml:space="preserve"> του 2018</w:t>
      </w:r>
    </w:p>
    <w:p w:rsidR="00545BAE" w:rsidRPr="000770B2" w:rsidRDefault="00545BAE" w:rsidP="00044384">
      <w:pPr>
        <w:spacing w:after="0" w:line="240" w:lineRule="auto"/>
        <w:jc w:val="center"/>
        <w:rPr>
          <w:rFonts w:ascii="Verdana" w:hAnsi="Verdana"/>
          <w:lang w:val="el-GR"/>
        </w:rPr>
      </w:pPr>
    </w:p>
    <w:p w:rsidR="00044384" w:rsidRPr="000770B2" w:rsidRDefault="00044384" w:rsidP="00044384">
      <w:pPr>
        <w:spacing w:after="0" w:line="240" w:lineRule="auto"/>
        <w:rPr>
          <w:rFonts w:ascii="Verdana" w:hAnsi="Verdana"/>
          <w:lang w:val="el-GR"/>
        </w:rPr>
      </w:pPr>
    </w:p>
    <w:tbl>
      <w:tblPr>
        <w:tblStyle w:val="TableGrid"/>
        <w:tblW w:w="0" w:type="auto"/>
        <w:tblLook w:val="04A0"/>
      </w:tblPr>
      <w:tblGrid>
        <w:gridCol w:w="2896"/>
        <w:gridCol w:w="10672"/>
      </w:tblGrid>
      <w:tr w:rsidR="00375C19" w:rsidRPr="000770B2" w:rsidTr="00375C19">
        <w:trPr>
          <w:trHeight w:val="566"/>
        </w:trPr>
        <w:tc>
          <w:tcPr>
            <w:tcW w:w="2896" w:type="dxa"/>
            <w:shd w:val="clear" w:color="auto" w:fill="BFBFBF" w:themeFill="background1" w:themeFillShade="BF"/>
            <w:vAlign w:val="center"/>
          </w:tcPr>
          <w:p w:rsidR="00375C19" w:rsidRPr="000770B2" w:rsidRDefault="00375C19" w:rsidP="003450FB">
            <w:pPr>
              <w:jc w:val="center"/>
              <w:rPr>
                <w:rFonts w:ascii="Verdana" w:hAnsi="Verdana"/>
                <w:b/>
                <w:lang w:val="el-GR"/>
              </w:rPr>
            </w:pPr>
            <w:r w:rsidRPr="000770B2">
              <w:rPr>
                <w:rFonts w:ascii="Verdana" w:hAnsi="Verdana"/>
                <w:b/>
                <w:lang w:val="el-GR"/>
              </w:rPr>
              <w:t>Τροποποιητικός Κανονισμός</w:t>
            </w:r>
          </w:p>
        </w:tc>
        <w:tc>
          <w:tcPr>
            <w:tcW w:w="10672" w:type="dxa"/>
            <w:shd w:val="clear" w:color="auto" w:fill="BFBFBF" w:themeFill="background1" w:themeFillShade="BF"/>
            <w:vAlign w:val="center"/>
          </w:tcPr>
          <w:p w:rsidR="00375C19" w:rsidRPr="000770B2" w:rsidRDefault="00375C19" w:rsidP="003450FB">
            <w:pPr>
              <w:jc w:val="center"/>
              <w:rPr>
                <w:rFonts w:ascii="Verdana" w:hAnsi="Verdana"/>
                <w:b/>
                <w:lang w:val="el-GR"/>
              </w:rPr>
            </w:pPr>
            <w:r w:rsidRPr="000770B2">
              <w:rPr>
                <w:rFonts w:ascii="Verdana" w:hAnsi="Verdana"/>
                <w:b/>
                <w:lang w:val="el-GR"/>
              </w:rPr>
              <w:t>Περιγραφή</w:t>
            </w:r>
          </w:p>
        </w:tc>
      </w:tr>
      <w:tr w:rsidR="00375C19" w:rsidRPr="00FE3152" w:rsidTr="00375C19">
        <w:trPr>
          <w:trHeight w:val="834"/>
        </w:trPr>
        <w:tc>
          <w:tcPr>
            <w:tcW w:w="2896" w:type="dxa"/>
          </w:tcPr>
          <w:p w:rsidR="00375C19" w:rsidRPr="000770B2" w:rsidRDefault="00375C19" w:rsidP="003450FB">
            <w:pPr>
              <w:rPr>
                <w:rFonts w:ascii="Verdana" w:hAnsi="Verdana"/>
                <w:lang w:val="el-GR"/>
              </w:rPr>
            </w:pPr>
            <w:r w:rsidRPr="000770B2">
              <w:rPr>
                <w:rFonts w:ascii="Verdana" w:hAnsi="Verdana"/>
                <w:lang w:val="el-GR"/>
              </w:rPr>
              <w:t>Κανονισμός 2</w:t>
            </w:r>
          </w:p>
        </w:tc>
        <w:tc>
          <w:tcPr>
            <w:tcW w:w="10672" w:type="dxa"/>
          </w:tcPr>
          <w:p w:rsidR="00375C19" w:rsidRPr="000770B2" w:rsidRDefault="00375C19" w:rsidP="00B06F68">
            <w:pPr>
              <w:jc w:val="both"/>
              <w:rPr>
                <w:rFonts w:ascii="Verdana" w:hAnsi="Verdana"/>
                <w:lang w:val="el-GR"/>
              </w:rPr>
            </w:pPr>
            <w:r w:rsidRPr="000770B2">
              <w:rPr>
                <w:rFonts w:ascii="Verdana" w:hAnsi="Verdana"/>
                <w:lang w:val="el-GR"/>
              </w:rPr>
              <w:t>Πρόνοια για έκδοση επεξηγηματικών σημειώσεων, οδηγιών και άλλων στοιχείων αναφορικά με τη συμπλήρωση και καταχώριση των εντύπων, από τον Έφορο Εταιρειών.</w:t>
            </w:r>
          </w:p>
        </w:tc>
      </w:tr>
      <w:tr w:rsidR="00375C19" w:rsidRPr="00FE3152" w:rsidTr="00375C19">
        <w:trPr>
          <w:trHeight w:val="551"/>
        </w:trPr>
        <w:tc>
          <w:tcPr>
            <w:tcW w:w="2896" w:type="dxa"/>
          </w:tcPr>
          <w:p w:rsidR="00375C19" w:rsidRPr="000770B2" w:rsidRDefault="00375C19" w:rsidP="003450FB">
            <w:pPr>
              <w:rPr>
                <w:rFonts w:ascii="Verdana" w:hAnsi="Verdana"/>
                <w:lang w:val="el-GR"/>
              </w:rPr>
            </w:pPr>
            <w:r w:rsidRPr="000770B2">
              <w:rPr>
                <w:rFonts w:ascii="Verdana" w:hAnsi="Verdana"/>
                <w:lang w:val="el-GR"/>
              </w:rPr>
              <w:t>Κανονισμός 3</w:t>
            </w:r>
          </w:p>
        </w:tc>
        <w:tc>
          <w:tcPr>
            <w:tcW w:w="10672" w:type="dxa"/>
          </w:tcPr>
          <w:p w:rsidR="00375C19" w:rsidRPr="000770B2" w:rsidRDefault="00375C19" w:rsidP="003450FB">
            <w:pPr>
              <w:jc w:val="both"/>
              <w:rPr>
                <w:rFonts w:ascii="Verdana" w:hAnsi="Verdana"/>
                <w:lang w:val="el-GR"/>
              </w:rPr>
            </w:pPr>
            <w:r w:rsidRPr="000770B2">
              <w:rPr>
                <w:rFonts w:ascii="Verdana" w:hAnsi="Verdana"/>
                <w:lang w:val="el-GR"/>
              </w:rPr>
              <w:t xml:space="preserve"> Διαγραφή και αντικατάσταση Παραρτήματος που περιλαμβάνει τα έντυπα των εταιρειών με καινούργιο παράρτημα.</w:t>
            </w:r>
          </w:p>
        </w:tc>
      </w:tr>
      <w:tr w:rsidR="00375C19" w:rsidRPr="000770B2" w:rsidTr="00375C19">
        <w:trPr>
          <w:trHeight w:val="283"/>
        </w:trPr>
        <w:tc>
          <w:tcPr>
            <w:tcW w:w="2896" w:type="dxa"/>
          </w:tcPr>
          <w:p w:rsidR="00375C19" w:rsidRPr="000770B2" w:rsidRDefault="00375C19" w:rsidP="003450FB">
            <w:pPr>
              <w:rPr>
                <w:rFonts w:ascii="Verdana" w:hAnsi="Verdana"/>
                <w:lang w:val="el-GR"/>
              </w:rPr>
            </w:pPr>
            <w:r w:rsidRPr="000770B2">
              <w:rPr>
                <w:rFonts w:ascii="Verdana" w:hAnsi="Verdana"/>
                <w:lang w:val="el-GR"/>
              </w:rPr>
              <w:t>Κανονισμός 4</w:t>
            </w:r>
          </w:p>
        </w:tc>
        <w:tc>
          <w:tcPr>
            <w:tcW w:w="10672" w:type="dxa"/>
          </w:tcPr>
          <w:p w:rsidR="00375C19" w:rsidRPr="000770B2" w:rsidRDefault="00375C19" w:rsidP="00FA5641">
            <w:pPr>
              <w:jc w:val="both"/>
              <w:rPr>
                <w:rFonts w:ascii="Verdana" w:hAnsi="Verdana"/>
                <w:lang w:val="el-GR"/>
              </w:rPr>
            </w:pPr>
            <w:r w:rsidRPr="000770B2">
              <w:rPr>
                <w:rFonts w:ascii="Verdana" w:hAnsi="Verdana"/>
                <w:lang w:val="el-GR"/>
              </w:rPr>
              <w:t xml:space="preserve">Έναρξη ισχύος.  </w:t>
            </w:r>
          </w:p>
        </w:tc>
      </w:tr>
    </w:tbl>
    <w:p w:rsidR="00044384" w:rsidRPr="000770B2" w:rsidRDefault="00044384" w:rsidP="00044384">
      <w:pPr>
        <w:spacing w:after="0" w:line="240" w:lineRule="auto"/>
        <w:rPr>
          <w:rFonts w:ascii="Verdana" w:hAnsi="Verdana"/>
          <w:lang w:val="el-GR"/>
        </w:rPr>
      </w:pPr>
    </w:p>
    <w:p w:rsidR="00044384" w:rsidRPr="000770B2" w:rsidRDefault="00044384" w:rsidP="00044384">
      <w:pPr>
        <w:spacing w:after="0" w:line="240" w:lineRule="auto"/>
        <w:rPr>
          <w:rFonts w:ascii="Verdana" w:hAnsi="Verdana"/>
          <w:lang w:val="el-GR"/>
        </w:rPr>
      </w:pPr>
    </w:p>
    <w:p w:rsidR="00044384" w:rsidRPr="000770B2" w:rsidRDefault="00044384" w:rsidP="00044384">
      <w:pPr>
        <w:spacing w:after="0" w:line="240" w:lineRule="auto"/>
        <w:rPr>
          <w:rFonts w:ascii="Verdana" w:hAnsi="Verdana"/>
          <w:lang w:val="el-GR"/>
        </w:rPr>
      </w:pPr>
    </w:p>
    <w:p w:rsidR="00F1134C" w:rsidRPr="000770B2" w:rsidRDefault="00F1134C" w:rsidP="00044384">
      <w:pPr>
        <w:spacing w:after="0" w:line="240" w:lineRule="auto"/>
        <w:rPr>
          <w:rFonts w:ascii="Verdana" w:hAnsi="Verdana"/>
          <w:lang w:val="el-GR"/>
        </w:rPr>
      </w:pPr>
    </w:p>
    <w:p w:rsidR="00F1134C" w:rsidRPr="000770B2" w:rsidRDefault="00F1134C" w:rsidP="00044384">
      <w:pPr>
        <w:spacing w:after="0" w:line="240" w:lineRule="auto"/>
        <w:rPr>
          <w:rFonts w:ascii="Verdana" w:hAnsi="Verdana"/>
          <w:lang w:val="el-GR"/>
        </w:rPr>
      </w:pPr>
    </w:p>
    <w:p w:rsidR="00044384" w:rsidRPr="000770B2" w:rsidRDefault="00044384" w:rsidP="00044384">
      <w:pPr>
        <w:spacing w:after="0" w:line="240" w:lineRule="auto"/>
        <w:rPr>
          <w:rFonts w:ascii="Verdana" w:hAnsi="Verdana"/>
          <w:lang w:val="el-GR"/>
        </w:rPr>
      </w:pPr>
    </w:p>
    <w:p w:rsidR="00044384" w:rsidRPr="000770B2" w:rsidRDefault="00044384" w:rsidP="00044384">
      <w:pPr>
        <w:spacing w:after="0" w:line="240" w:lineRule="auto"/>
        <w:rPr>
          <w:rFonts w:ascii="Verdana" w:hAnsi="Verdana"/>
          <w:lang w:val="el-GR"/>
        </w:rPr>
      </w:pPr>
    </w:p>
    <w:p w:rsidR="00044384" w:rsidRPr="000770B2" w:rsidRDefault="00044384" w:rsidP="00044384">
      <w:pPr>
        <w:spacing w:after="0" w:line="240" w:lineRule="auto"/>
        <w:rPr>
          <w:rFonts w:ascii="Verdana" w:hAnsi="Verdana"/>
          <w:lang w:val="el-GR"/>
        </w:rPr>
      </w:pPr>
    </w:p>
    <w:p w:rsidR="00044384" w:rsidRPr="000770B2" w:rsidRDefault="00044384" w:rsidP="00044384">
      <w:pPr>
        <w:spacing w:after="0" w:line="240" w:lineRule="auto"/>
        <w:rPr>
          <w:rFonts w:ascii="Verdana" w:hAnsi="Verdana"/>
          <w:lang w:val="el-GR"/>
        </w:rPr>
      </w:pPr>
    </w:p>
    <w:p w:rsidR="00044384" w:rsidRPr="000770B2" w:rsidRDefault="00044384" w:rsidP="00D24270">
      <w:pPr>
        <w:spacing w:after="0" w:line="240" w:lineRule="auto"/>
        <w:jc w:val="center"/>
        <w:rPr>
          <w:rFonts w:ascii="Verdana" w:hAnsi="Verdana"/>
          <w:b/>
          <w:sz w:val="28"/>
          <w:szCs w:val="28"/>
          <w:lang w:val="el-GR"/>
        </w:rPr>
      </w:pPr>
    </w:p>
    <w:p w:rsidR="00545BAE" w:rsidRPr="000770B2" w:rsidRDefault="00545BAE" w:rsidP="00D24270">
      <w:pPr>
        <w:spacing w:after="0" w:line="240" w:lineRule="auto"/>
        <w:jc w:val="center"/>
        <w:rPr>
          <w:rFonts w:ascii="Verdana" w:hAnsi="Verdana"/>
          <w:b/>
          <w:sz w:val="28"/>
          <w:szCs w:val="28"/>
          <w:lang w:val="el-GR"/>
        </w:rPr>
      </w:pPr>
    </w:p>
    <w:p w:rsidR="00044384" w:rsidRPr="000770B2" w:rsidRDefault="00044384" w:rsidP="00D24270">
      <w:pPr>
        <w:spacing w:after="0" w:line="240" w:lineRule="auto"/>
        <w:jc w:val="center"/>
        <w:rPr>
          <w:rFonts w:ascii="Verdana" w:hAnsi="Verdana"/>
          <w:b/>
          <w:sz w:val="28"/>
          <w:szCs w:val="28"/>
          <w:lang w:val="el-GR"/>
        </w:rPr>
      </w:pPr>
    </w:p>
    <w:p w:rsidR="00044384" w:rsidRPr="000770B2" w:rsidRDefault="00044384" w:rsidP="00D24270">
      <w:pPr>
        <w:spacing w:after="0" w:line="240" w:lineRule="auto"/>
        <w:jc w:val="center"/>
        <w:rPr>
          <w:rFonts w:ascii="Verdana" w:hAnsi="Verdana"/>
          <w:b/>
          <w:sz w:val="28"/>
          <w:szCs w:val="28"/>
          <w:lang w:val="el-GR"/>
        </w:rPr>
      </w:pPr>
    </w:p>
    <w:p w:rsidR="00044384" w:rsidRPr="000770B2" w:rsidRDefault="00044384" w:rsidP="00D24270">
      <w:pPr>
        <w:spacing w:after="0" w:line="240" w:lineRule="auto"/>
        <w:jc w:val="center"/>
        <w:rPr>
          <w:rFonts w:ascii="Verdana" w:hAnsi="Verdana"/>
          <w:b/>
          <w:sz w:val="28"/>
          <w:szCs w:val="28"/>
          <w:lang w:val="el-GR"/>
        </w:rPr>
      </w:pPr>
    </w:p>
    <w:p w:rsidR="0051214E" w:rsidRPr="000770B2" w:rsidRDefault="0051214E" w:rsidP="00D24270">
      <w:pPr>
        <w:spacing w:after="0" w:line="240" w:lineRule="auto"/>
        <w:jc w:val="center"/>
        <w:rPr>
          <w:rFonts w:ascii="Verdana" w:hAnsi="Verdana"/>
          <w:b/>
          <w:sz w:val="28"/>
          <w:szCs w:val="28"/>
          <w:lang w:val="el-GR"/>
        </w:rPr>
      </w:pPr>
    </w:p>
    <w:p w:rsidR="00044384" w:rsidRPr="000770B2" w:rsidRDefault="00044384" w:rsidP="00D24270">
      <w:pPr>
        <w:spacing w:after="0" w:line="240" w:lineRule="auto"/>
        <w:jc w:val="center"/>
        <w:rPr>
          <w:rFonts w:ascii="Verdana" w:hAnsi="Verdana"/>
          <w:b/>
          <w:sz w:val="28"/>
          <w:szCs w:val="28"/>
          <w:lang w:val="el-GR"/>
        </w:rPr>
      </w:pPr>
    </w:p>
    <w:p w:rsidR="00044384" w:rsidRPr="000770B2" w:rsidRDefault="00044384" w:rsidP="00D24270">
      <w:pPr>
        <w:spacing w:after="0" w:line="240" w:lineRule="auto"/>
        <w:jc w:val="center"/>
        <w:rPr>
          <w:rFonts w:ascii="Verdana" w:hAnsi="Verdana"/>
          <w:b/>
          <w:sz w:val="28"/>
          <w:szCs w:val="28"/>
          <w:lang w:val="el-GR"/>
        </w:rPr>
      </w:pPr>
    </w:p>
    <w:p w:rsidR="00044384" w:rsidRPr="000770B2" w:rsidRDefault="00044384" w:rsidP="00D24270">
      <w:pPr>
        <w:spacing w:after="0" w:line="240" w:lineRule="auto"/>
        <w:jc w:val="center"/>
        <w:rPr>
          <w:rFonts w:ascii="Verdana" w:hAnsi="Verdana"/>
          <w:b/>
          <w:sz w:val="28"/>
          <w:szCs w:val="28"/>
          <w:lang w:val="el-GR"/>
        </w:rPr>
      </w:pPr>
    </w:p>
    <w:p w:rsidR="00044384" w:rsidRPr="000770B2" w:rsidRDefault="00044384" w:rsidP="00D24270">
      <w:pPr>
        <w:spacing w:after="0" w:line="240" w:lineRule="auto"/>
        <w:jc w:val="center"/>
        <w:rPr>
          <w:rFonts w:ascii="Verdana" w:hAnsi="Verdana"/>
          <w:b/>
          <w:sz w:val="28"/>
          <w:szCs w:val="28"/>
          <w:lang w:val="el-GR"/>
        </w:rPr>
      </w:pPr>
    </w:p>
    <w:p w:rsidR="00044384" w:rsidRPr="000770B2" w:rsidRDefault="00044384" w:rsidP="00D24270">
      <w:pPr>
        <w:spacing w:after="0" w:line="240" w:lineRule="auto"/>
        <w:jc w:val="center"/>
        <w:rPr>
          <w:rFonts w:ascii="Verdana" w:hAnsi="Verdana"/>
          <w:b/>
          <w:sz w:val="28"/>
          <w:szCs w:val="28"/>
          <w:lang w:val="el-GR"/>
        </w:rPr>
      </w:pPr>
    </w:p>
    <w:p w:rsidR="00E5280A" w:rsidRPr="000770B2" w:rsidRDefault="00AD1DB2" w:rsidP="00D24270">
      <w:pPr>
        <w:spacing w:after="0" w:line="240" w:lineRule="auto"/>
        <w:jc w:val="center"/>
        <w:rPr>
          <w:rFonts w:ascii="Verdana" w:hAnsi="Verdana"/>
          <w:b/>
          <w:sz w:val="28"/>
          <w:szCs w:val="28"/>
          <w:lang w:val="el-GR"/>
        </w:rPr>
      </w:pPr>
      <w:r w:rsidRPr="000770B2">
        <w:rPr>
          <w:rFonts w:ascii="Verdana" w:hAnsi="Verdana"/>
          <w:b/>
          <w:sz w:val="28"/>
          <w:szCs w:val="28"/>
          <w:lang w:val="el-GR"/>
        </w:rPr>
        <w:lastRenderedPageBreak/>
        <w:t>περί Εταιρειών (Τέλη και Δικαιώματα) (Τροποποιητικο</w:t>
      </w:r>
      <w:r w:rsidR="008C79C5" w:rsidRPr="000770B2">
        <w:rPr>
          <w:rFonts w:ascii="Verdana" w:hAnsi="Verdana"/>
          <w:b/>
          <w:sz w:val="28"/>
          <w:szCs w:val="28"/>
          <w:lang w:val="el-GR"/>
        </w:rPr>
        <w:t>ί</w:t>
      </w:r>
      <w:r w:rsidRPr="000770B2">
        <w:rPr>
          <w:rFonts w:ascii="Verdana" w:hAnsi="Verdana"/>
          <w:b/>
          <w:sz w:val="28"/>
          <w:szCs w:val="28"/>
          <w:lang w:val="el-GR"/>
        </w:rPr>
        <w:t>) Κανονισμο</w:t>
      </w:r>
      <w:r w:rsidR="008C79C5" w:rsidRPr="000770B2">
        <w:rPr>
          <w:rFonts w:ascii="Verdana" w:hAnsi="Verdana"/>
          <w:b/>
          <w:sz w:val="28"/>
          <w:szCs w:val="28"/>
          <w:lang w:val="el-GR"/>
        </w:rPr>
        <w:t>ί</w:t>
      </w:r>
      <w:r w:rsidRPr="000770B2">
        <w:rPr>
          <w:rFonts w:ascii="Verdana" w:hAnsi="Verdana"/>
          <w:b/>
          <w:sz w:val="28"/>
          <w:szCs w:val="28"/>
          <w:lang w:val="el-GR"/>
        </w:rPr>
        <w:t xml:space="preserve"> του 2018</w:t>
      </w:r>
    </w:p>
    <w:p w:rsidR="00545BAE" w:rsidRPr="000770B2" w:rsidRDefault="00545BAE" w:rsidP="00D24270">
      <w:pPr>
        <w:spacing w:after="0" w:line="240" w:lineRule="auto"/>
        <w:jc w:val="center"/>
        <w:rPr>
          <w:rFonts w:ascii="Verdana" w:hAnsi="Verdana"/>
          <w:lang w:val="el-GR"/>
        </w:rPr>
      </w:pPr>
    </w:p>
    <w:p w:rsidR="00E5280A" w:rsidRPr="000770B2" w:rsidRDefault="00E5280A" w:rsidP="00374371">
      <w:pPr>
        <w:spacing w:after="0" w:line="240" w:lineRule="auto"/>
        <w:rPr>
          <w:rFonts w:ascii="Verdana" w:hAnsi="Verdana"/>
          <w:lang w:val="el-GR"/>
        </w:rPr>
      </w:pPr>
    </w:p>
    <w:tbl>
      <w:tblPr>
        <w:tblStyle w:val="TableGrid"/>
        <w:tblW w:w="0" w:type="auto"/>
        <w:tblLook w:val="04A0"/>
      </w:tblPr>
      <w:tblGrid>
        <w:gridCol w:w="2770"/>
        <w:gridCol w:w="11108"/>
      </w:tblGrid>
      <w:tr w:rsidR="00375C19" w:rsidRPr="000770B2" w:rsidTr="00F42364">
        <w:trPr>
          <w:trHeight w:val="601"/>
        </w:trPr>
        <w:tc>
          <w:tcPr>
            <w:tcW w:w="2770" w:type="dxa"/>
            <w:shd w:val="clear" w:color="auto" w:fill="BFBFBF" w:themeFill="background1" w:themeFillShade="BF"/>
            <w:vAlign w:val="center"/>
          </w:tcPr>
          <w:p w:rsidR="00375C19" w:rsidRPr="000770B2" w:rsidRDefault="00375C19">
            <w:pPr>
              <w:jc w:val="center"/>
              <w:rPr>
                <w:rFonts w:ascii="Verdana" w:hAnsi="Verdana"/>
                <w:b/>
                <w:lang w:val="el-GR"/>
              </w:rPr>
            </w:pPr>
            <w:r w:rsidRPr="000770B2">
              <w:rPr>
                <w:rFonts w:ascii="Verdana" w:hAnsi="Verdana"/>
                <w:b/>
                <w:lang w:val="el-GR"/>
              </w:rPr>
              <w:t>Τροποποιητικός Κανονισμός</w:t>
            </w:r>
          </w:p>
        </w:tc>
        <w:tc>
          <w:tcPr>
            <w:tcW w:w="11108" w:type="dxa"/>
            <w:shd w:val="clear" w:color="auto" w:fill="BFBFBF" w:themeFill="background1" w:themeFillShade="BF"/>
            <w:vAlign w:val="center"/>
          </w:tcPr>
          <w:p w:rsidR="00375C19" w:rsidRPr="000770B2" w:rsidRDefault="00375C19" w:rsidP="003450FB">
            <w:pPr>
              <w:jc w:val="center"/>
              <w:rPr>
                <w:rFonts w:ascii="Verdana" w:hAnsi="Verdana"/>
                <w:b/>
                <w:lang w:val="el-GR"/>
              </w:rPr>
            </w:pPr>
            <w:r w:rsidRPr="000770B2">
              <w:rPr>
                <w:rFonts w:ascii="Verdana" w:hAnsi="Verdana"/>
                <w:b/>
                <w:lang w:val="el-GR"/>
              </w:rPr>
              <w:t>Περιγραφή</w:t>
            </w:r>
          </w:p>
        </w:tc>
      </w:tr>
      <w:tr w:rsidR="00375C19" w:rsidRPr="00FE3152" w:rsidTr="00F42364">
        <w:trPr>
          <w:trHeight w:val="860"/>
        </w:trPr>
        <w:tc>
          <w:tcPr>
            <w:tcW w:w="2770" w:type="dxa"/>
          </w:tcPr>
          <w:p w:rsidR="00375C19" w:rsidRPr="000770B2" w:rsidRDefault="00375C19" w:rsidP="003450FB">
            <w:pPr>
              <w:rPr>
                <w:rFonts w:ascii="Verdana" w:hAnsi="Verdana"/>
                <w:lang w:val="el-GR"/>
              </w:rPr>
            </w:pPr>
            <w:r w:rsidRPr="000770B2">
              <w:rPr>
                <w:rFonts w:ascii="Verdana" w:hAnsi="Verdana"/>
                <w:lang w:val="el-GR"/>
              </w:rPr>
              <w:t>Κανονισμός 2</w:t>
            </w:r>
          </w:p>
        </w:tc>
        <w:tc>
          <w:tcPr>
            <w:tcW w:w="11108" w:type="dxa"/>
          </w:tcPr>
          <w:p w:rsidR="00375C19" w:rsidRPr="000770B2" w:rsidRDefault="00375C19" w:rsidP="003450FB">
            <w:pPr>
              <w:jc w:val="both"/>
              <w:rPr>
                <w:rFonts w:ascii="Verdana" w:hAnsi="Verdana"/>
                <w:lang w:val="el-GR"/>
              </w:rPr>
            </w:pPr>
            <w:r w:rsidRPr="000770B2">
              <w:rPr>
                <w:rFonts w:ascii="Verdana" w:hAnsi="Verdana"/>
                <w:lang w:val="el-GR"/>
              </w:rPr>
              <w:t>(α) Διαγραφή του φόρου εισφοράς 0.6% επί του ονομαστικού κεφαλαίου κατά την εγγραφή εταιρείας.</w:t>
            </w:r>
          </w:p>
          <w:p w:rsidR="00375C19" w:rsidRPr="000770B2" w:rsidRDefault="00375C19" w:rsidP="00AB04C3">
            <w:pPr>
              <w:jc w:val="both"/>
              <w:rPr>
                <w:rFonts w:ascii="Verdana" w:hAnsi="Verdana"/>
                <w:lang w:val="el-GR"/>
              </w:rPr>
            </w:pPr>
            <w:r w:rsidRPr="000770B2">
              <w:rPr>
                <w:rFonts w:ascii="Verdana" w:hAnsi="Verdana"/>
                <w:lang w:val="el-GR"/>
              </w:rPr>
              <w:t xml:space="preserve">(β) Διαγραφή του φόρου εισφοράς 0.6% επί της διαφοράς μετά από αύξηση του ονομαστικού κεφαλαίου εταιρείας. </w:t>
            </w:r>
          </w:p>
        </w:tc>
      </w:tr>
    </w:tbl>
    <w:p w:rsidR="00E5280A" w:rsidRPr="000770B2" w:rsidRDefault="00E5280A"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8C79C5" w:rsidRPr="000770B2" w:rsidRDefault="008C79C5" w:rsidP="00374371">
      <w:pPr>
        <w:spacing w:after="0" w:line="240" w:lineRule="auto"/>
        <w:rPr>
          <w:rFonts w:ascii="Verdana" w:hAnsi="Verdana"/>
          <w:lang w:val="el-GR"/>
        </w:rPr>
      </w:pPr>
    </w:p>
    <w:p w:rsidR="00630699" w:rsidRPr="000770B2" w:rsidRDefault="00630699" w:rsidP="00374371">
      <w:pPr>
        <w:spacing w:after="0" w:line="240" w:lineRule="auto"/>
        <w:rPr>
          <w:rFonts w:ascii="Verdana" w:hAnsi="Verdana"/>
          <w:lang w:val="el-GR"/>
        </w:rPr>
      </w:pPr>
    </w:p>
    <w:p w:rsidR="00545BAE" w:rsidRPr="000770B2" w:rsidRDefault="00545BAE" w:rsidP="00AF4CBF">
      <w:pPr>
        <w:spacing w:after="0" w:line="240" w:lineRule="auto"/>
        <w:jc w:val="center"/>
        <w:rPr>
          <w:rFonts w:ascii="Verdana" w:hAnsi="Verdana"/>
          <w:b/>
          <w:sz w:val="28"/>
          <w:szCs w:val="28"/>
          <w:lang w:val="el-GR"/>
        </w:rPr>
      </w:pPr>
    </w:p>
    <w:p w:rsidR="00AF4CBF" w:rsidRPr="000770B2" w:rsidRDefault="00AF4CBF" w:rsidP="00AF4CBF">
      <w:pPr>
        <w:spacing w:after="0" w:line="240" w:lineRule="auto"/>
        <w:jc w:val="center"/>
        <w:rPr>
          <w:rFonts w:ascii="Verdana" w:hAnsi="Verdana"/>
          <w:b/>
          <w:sz w:val="28"/>
          <w:szCs w:val="28"/>
          <w:lang w:val="el-GR"/>
        </w:rPr>
      </w:pPr>
      <w:r w:rsidRPr="000770B2">
        <w:rPr>
          <w:rFonts w:ascii="Verdana" w:hAnsi="Verdana"/>
          <w:b/>
          <w:sz w:val="28"/>
          <w:szCs w:val="28"/>
          <w:lang w:val="el-GR"/>
        </w:rPr>
        <w:t>περί Ομορρύθμων και Ετερορρύθμων Συνεταιρισμών και Εμπορικών Επωνυμιών (Τροποποιητικο</w:t>
      </w:r>
      <w:r w:rsidR="008C79C5" w:rsidRPr="000770B2">
        <w:rPr>
          <w:rFonts w:ascii="Verdana" w:hAnsi="Verdana"/>
          <w:b/>
          <w:sz w:val="28"/>
          <w:szCs w:val="28"/>
          <w:lang w:val="el-GR"/>
        </w:rPr>
        <w:t>ί</w:t>
      </w:r>
      <w:r w:rsidRPr="000770B2">
        <w:rPr>
          <w:rFonts w:ascii="Verdana" w:hAnsi="Verdana"/>
          <w:b/>
          <w:sz w:val="28"/>
          <w:szCs w:val="28"/>
          <w:lang w:val="el-GR"/>
        </w:rPr>
        <w:t>) Κανονισμο</w:t>
      </w:r>
      <w:r w:rsidR="008C79C5" w:rsidRPr="000770B2">
        <w:rPr>
          <w:rFonts w:ascii="Verdana" w:hAnsi="Verdana"/>
          <w:b/>
          <w:sz w:val="28"/>
          <w:szCs w:val="28"/>
          <w:lang w:val="el-GR"/>
        </w:rPr>
        <w:t>ί</w:t>
      </w:r>
      <w:r w:rsidRPr="000770B2">
        <w:rPr>
          <w:rFonts w:ascii="Verdana" w:hAnsi="Verdana"/>
          <w:b/>
          <w:sz w:val="28"/>
          <w:szCs w:val="28"/>
          <w:lang w:val="el-GR"/>
        </w:rPr>
        <w:t xml:space="preserve"> του 2018</w:t>
      </w:r>
    </w:p>
    <w:p w:rsidR="00AF4CBF" w:rsidRPr="000770B2" w:rsidRDefault="00AF4CBF" w:rsidP="00AF4CBF">
      <w:pPr>
        <w:spacing w:after="0" w:line="240" w:lineRule="auto"/>
        <w:jc w:val="center"/>
        <w:rPr>
          <w:rFonts w:ascii="Verdana" w:hAnsi="Verdana"/>
          <w:lang w:val="el-GR"/>
        </w:rPr>
      </w:pPr>
    </w:p>
    <w:p w:rsidR="00AF4CBF" w:rsidRPr="000770B2" w:rsidRDefault="00AF4CBF" w:rsidP="00AF4CBF">
      <w:pPr>
        <w:spacing w:after="0" w:line="240" w:lineRule="auto"/>
        <w:rPr>
          <w:rFonts w:ascii="Verdana" w:hAnsi="Verdana"/>
          <w:lang w:val="el-GR"/>
        </w:rPr>
      </w:pPr>
    </w:p>
    <w:tbl>
      <w:tblPr>
        <w:tblStyle w:val="TableGrid"/>
        <w:tblW w:w="0" w:type="auto"/>
        <w:tblLook w:val="04A0"/>
      </w:tblPr>
      <w:tblGrid>
        <w:gridCol w:w="2195"/>
        <w:gridCol w:w="8173"/>
        <w:gridCol w:w="3528"/>
      </w:tblGrid>
      <w:tr w:rsidR="009B7FE8" w:rsidRPr="000770B2" w:rsidTr="009B7FE8">
        <w:tc>
          <w:tcPr>
            <w:tcW w:w="2195" w:type="dxa"/>
            <w:shd w:val="clear" w:color="auto" w:fill="BFBFBF" w:themeFill="background1" w:themeFillShade="BF"/>
            <w:vAlign w:val="center"/>
          </w:tcPr>
          <w:p w:rsidR="009B7FE8" w:rsidRPr="000770B2" w:rsidRDefault="009B7FE8" w:rsidP="003450FB">
            <w:pPr>
              <w:jc w:val="center"/>
              <w:rPr>
                <w:rFonts w:ascii="Verdana" w:hAnsi="Verdana"/>
                <w:b/>
                <w:lang w:val="el-GR"/>
              </w:rPr>
            </w:pPr>
            <w:r w:rsidRPr="000770B2">
              <w:rPr>
                <w:rFonts w:ascii="Verdana" w:hAnsi="Verdana"/>
                <w:b/>
                <w:lang w:val="el-GR"/>
              </w:rPr>
              <w:t>Τροποποιητικός Κανονισμός</w:t>
            </w:r>
          </w:p>
        </w:tc>
        <w:tc>
          <w:tcPr>
            <w:tcW w:w="8173" w:type="dxa"/>
            <w:shd w:val="clear" w:color="auto" w:fill="BFBFBF" w:themeFill="background1" w:themeFillShade="BF"/>
            <w:vAlign w:val="center"/>
          </w:tcPr>
          <w:p w:rsidR="009B7FE8" w:rsidRPr="000770B2" w:rsidRDefault="009B7FE8" w:rsidP="003450FB">
            <w:pPr>
              <w:jc w:val="center"/>
              <w:rPr>
                <w:rFonts w:ascii="Verdana" w:hAnsi="Verdana"/>
                <w:b/>
                <w:lang w:val="el-GR"/>
              </w:rPr>
            </w:pPr>
            <w:r w:rsidRPr="000770B2">
              <w:rPr>
                <w:rFonts w:ascii="Verdana" w:hAnsi="Verdana"/>
                <w:b/>
                <w:lang w:val="el-GR"/>
              </w:rPr>
              <w:t>Περιγραφή</w:t>
            </w:r>
          </w:p>
        </w:tc>
        <w:tc>
          <w:tcPr>
            <w:tcW w:w="3528" w:type="dxa"/>
            <w:shd w:val="clear" w:color="auto" w:fill="BFBFBF" w:themeFill="background1" w:themeFillShade="BF"/>
          </w:tcPr>
          <w:p w:rsidR="009B7FE8" w:rsidRPr="000770B2" w:rsidRDefault="009B7FE8" w:rsidP="003450FB">
            <w:pPr>
              <w:jc w:val="center"/>
              <w:rPr>
                <w:rFonts w:ascii="Verdana" w:hAnsi="Verdana"/>
                <w:b/>
                <w:lang w:val="el-GR"/>
              </w:rPr>
            </w:pPr>
            <w:r w:rsidRPr="000770B2">
              <w:rPr>
                <w:rFonts w:ascii="Verdana" w:hAnsi="Verdana"/>
                <w:b/>
                <w:lang w:val="el-GR"/>
              </w:rPr>
              <w:t>Εφαρμογή</w:t>
            </w:r>
          </w:p>
        </w:tc>
      </w:tr>
      <w:tr w:rsidR="009B7FE8" w:rsidRPr="000770B2" w:rsidTr="009B7FE8">
        <w:tc>
          <w:tcPr>
            <w:tcW w:w="2195" w:type="dxa"/>
            <w:shd w:val="clear" w:color="auto" w:fill="BFBFBF" w:themeFill="background1" w:themeFillShade="BF"/>
          </w:tcPr>
          <w:p w:rsidR="009B7FE8" w:rsidRPr="000770B2" w:rsidRDefault="009B7FE8" w:rsidP="003450FB">
            <w:pPr>
              <w:rPr>
                <w:rFonts w:ascii="Verdana" w:hAnsi="Verdana"/>
                <w:b/>
                <w:lang w:val="el-GR"/>
              </w:rPr>
            </w:pPr>
            <w:r w:rsidRPr="000770B2">
              <w:rPr>
                <w:rFonts w:ascii="Verdana" w:hAnsi="Verdana"/>
                <w:lang w:val="el-GR"/>
              </w:rPr>
              <w:t>Κανονισμός 2</w:t>
            </w:r>
          </w:p>
        </w:tc>
        <w:tc>
          <w:tcPr>
            <w:tcW w:w="8173" w:type="dxa"/>
            <w:shd w:val="clear" w:color="auto" w:fill="BFBFBF" w:themeFill="background1" w:themeFillShade="BF"/>
            <w:vAlign w:val="center"/>
          </w:tcPr>
          <w:p w:rsidR="009B7FE8" w:rsidRPr="000770B2" w:rsidRDefault="009B7FE8" w:rsidP="003450FB">
            <w:pPr>
              <w:rPr>
                <w:rFonts w:ascii="Verdana" w:hAnsi="Verdana"/>
                <w:lang w:val="el-GR"/>
              </w:rPr>
            </w:pPr>
            <w:r w:rsidRPr="000770B2">
              <w:rPr>
                <w:rFonts w:ascii="Verdana" w:hAnsi="Verdana"/>
                <w:lang w:val="el-GR"/>
              </w:rPr>
              <w:t>Προσθήκη νέου ορισμού αναφορικά με την ονοματολογία Ν</w:t>
            </w:r>
            <w:r w:rsidRPr="000770B2">
              <w:rPr>
                <w:rFonts w:ascii="Verdana" w:hAnsi="Verdana"/>
                <w:lang w:val="en-GB"/>
              </w:rPr>
              <w:t>AC</w:t>
            </w:r>
            <w:r w:rsidRPr="000770B2">
              <w:rPr>
                <w:rFonts w:ascii="Verdana" w:hAnsi="Verdana"/>
                <w:lang w:val="el-GR"/>
              </w:rPr>
              <w:t>Ε</w:t>
            </w:r>
          </w:p>
        </w:tc>
        <w:tc>
          <w:tcPr>
            <w:tcW w:w="3528" w:type="dxa"/>
            <w:shd w:val="clear" w:color="auto" w:fill="BFBFBF" w:themeFill="background1" w:themeFillShade="BF"/>
          </w:tcPr>
          <w:p w:rsidR="009B7FE8" w:rsidRPr="000770B2" w:rsidRDefault="009B7FE8" w:rsidP="009B7FE8">
            <w:pPr>
              <w:jc w:val="both"/>
              <w:rPr>
                <w:rFonts w:ascii="Verdana" w:hAnsi="Verdana"/>
                <w:lang w:val="el-GR"/>
              </w:rPr>
            </w:pPr>
            <w:r w:rsidRPr="000770B2">
              <w:rPr>
                <w:rFonts w:ascii="Verdana" w:hAnsi="Verdana"/>
                <w:lang w:val="el-GR"/>
              </w:rPr>
              <w:t>ΧΧ/12/2018</w:t>
            </w:r>
          </w:p>
          <w:p w:rsidR="009B7FE8" w:rsidRPr="000770B2" w:rsidRDefault="009B7FE8" w:rsidP="003450FB">
            <w:pPr>
              <w:rPr>
                <w:rFonts w:ascii="Verdana" w:hAnsi="Verdana"/>
                <w:lang w:val="el-GR"/>
              </w:rPr>
            </w:pPr>
          </w:p>
        </w:tc>
      </w:tr>
      <w:tr w:rsidR="009B7FE8" w:rsidRPr="00FE3152" w:rsidTr="009B7FE8">
        <w:tc>
          <w:tcPr>
            <w:tcW w:w="2195" w:type="dxa"/>
          </w:tcPr>
          <w:p w:rsidR="009B7FE8" w:rsidRPr="000770B2" w:rsidRDefault="009B7FE8" w:rsidP="003450FB">
            <w:pPr>
              <w:rPr>
                <w:rFonts w:ascii="Verdana" w:hAnsi="Verdana"/>
                <w:lang w:val="el-GR"/>
              </w:rPr>
            </w:pPr>
            <w:r w:rsidRPr="000770B2">
              <w:rPr>
                <w:rFonts w:ascii="Verdana" w:hAnsi="Verdana"/>
                <w:lang w:val="el-GR"/>
              </w:rPr>
              <w:t>Κανονισμός 3</w:t>
            </w:r>
          </w:p>
        </w:tc>
        <w:tc>
          <w:tcPr>
            <w:tcW w:w="8173" w:type="dxa"/>
          </w:tcPr>
          <w:p w:rsidR="009B7FE8" w:rsidRPr="000770B2" w:rsidRDefault="009B7FE8" w:rsidP="003450FB">
            <w:pPr>
              <w:jc w:val="both"/>
              <w:rPr>
                <w:rFonts w:ascii="Verdana" w:hAnsi="Verdana"/>
                <w:lang w:val="el-GR"/>
              </w:rPr>
            </w:pPr>
            <w:r w:rsidRPr="000770B2">
              <w:rPr>
                <w:rFonts w:ascii="Verdana" w:hAnsi="Verdana"/>
                <w:lang w:val="el-GR"/>
              </w:rPr>
              <w:t>(α) Δημιουργία πίνακα περιεχομένων για τα έντυπα των συνεταιρισμών.</w:t>
            </w:r>
          </w:p>
          <w:p w:rsidR="009B7FE8" w:rsidRPr="000770B2" w:rsidRDefault="009B7FE8" w:rsidP="003450FB">
            <w:pPr>
              <w:jc w:val="both"/>
              <w:rPr>
                <w:rFonts w:ascii="Verdana" w:hAnsi="Verdana"/>
                <w:lang w:val="el-GR"/>
              </w:rPr>
            </w:pPr>
            <w:r w:rsidRPr="000770B2">
              <w:rPr>
                <w:rFonts w:ascii="Verdana" w:hAnsi="Verdana"/>
                <w:lang w:val="el-GR"/>
              </w:rPr>
              <w:t xml:space="preserve">(β) Διαγραφή και αντικατάσταση εντύπων των συνεταιρισμών με καινούργια έντυπα. </w:t>
            </w:r>
          </w:p>
        </w:tc>
        <w:tc>
          <w:tcPr>
            <w:tcW w:w="3528" w:type="dxa"/>
          </w:tcPr>
          <w:p w:rsidR="009B7FE8" w:rsidRPr="000770B2" w:rsidRDefault="00BC5379" w:rsidP="003450FB">
            <w:pPr>
              <w:jc w:val="both"/>
              <w:rPr>
                <w:rFonts w:ascii="Verdana" w:hAnsi="Verdana"/>
                <w:lang w:val="el-GR"/>
              </w:rPr>
            </w:pPr>
            <w:r w:rsidRPr="000770B2">
              <w:rPr>
                <w:rFonts w:ascii="Verdana" w:hAnsi="Verdana"/>
                <w:lang w:val="el-GR"/>
              </w:rPr>
              <w:t>σε ημερομηνία που θα καθοριστεί με Γνωστοποίηση του Εφόρου Εταιρειών</w:t>
            </w:r>
          </w:p>
        </w:tc>
      </w:tr>
      <w:tr w:rsidR="009B7FE8" w:rsidRPr="00FE3152" w:rsidTr="009B7FE8">
        <w:tc>
          <w:tcPr>
            <w:tcW w:w="2195" w:type="dxa"/>
          </w:tcPr>
          <w:p w:rsidR="009B7FE8" w:rsidRPr="000770B2" w:rsidRDefault="009B7FE8" w:rsidP="003450FB">
            <w:pPr>
              <w:rPr>
                <w:rFonts w:ascii="Verdana" w:hAnsi="Verdana"/>
                <w:lang w:val="el-GR"/>
              </w:rPr>
            </w:pPr>
            <w:r w:rsidRPr="000770B2">
              <w:rPr>
                <w:rFonts w:ascii="Verdana" w:hAnsi="Verdana"/>
                <w:lang w:val="el-GR"/>
              </w:rPr>
              <w:t>Κανονισμός 4</w:t>
            </w:r>
          </w:p>
        </w:tc>
        <w:tc>
          <w:tcPr>
            <w:tcW w:w="8173" w:type="dxa"/>
          </w:tcPr>
          <w:p w:rsidR="009B7FE8" w:rsidRPr="000770B2" w:rsidRDefault="009B7FE8" w:rsidP="003450FB">
            <w:pPr>
              <w:jc w:val="both"/>
              <w:rPr>
                <w:rFonts w:ascii="Verdana" w:hAnsi="Verdana"/>
                <w:lang w:val="el-GR"/>
              </w:rPr>
            </w:pPr>
            <w:r w:rsidRPr="000770B2">
              <w:rPr>
                <w:rFonts w:ascii="Verdana" w:hAnsi="Verdana"/>
                <w:lang w:val="el-GR"/>
              </w:rPr>
              <w:t>(α) Δημιουργία πίνακα περιεχομένων για τα έντυπα των εμπορικών επωνυμιών.</w:t>
            </w:r>
          </w:p>
          <w:p w:rsidR="009B7FE8" w:rsidRPr="000770B2" w:rsidRDefault="009B7FE8" w:rsidP="003450FB">
            <w:pPr>
              <w:jc w:val="both"/>
              <w:rPr>
                <w:rFonts w:ascii="Verdana" w:hAnsi="Verdana"/>
                <w:lang w:val="el-GR"/>
              </w:rPr>
            </w:pPr>
            <w:r w:rsidRPr="000770B2">
              <w:rPr>
                <w:rFonts w:ascii="Verdana" w:hAnsi="Verdana"/>
                <w:lang w:val="el-GR"/>
              </w:rPr>
              <w:t xml:space="preserve">(β) Διαγραφή και αντικατάσταση εντύπων των εμπορικών επωνυμιών με καινούργια έντυπα. </w:t>
            </w:r>
          </w:p>
        </w:tc>
        <w:tc>
          <w:tcPr>
            <w:tcW w:w="3528" w:type="dxa"/>
          </w:tcPr>
          <w:p w:rsidR="009B7FE8" w:rsidRPr="000770B2" w:rsidRDefault="00BC5379" w:rsidP="003450FB">
            <w:pPr>
              <w:jc w:val="both"/>
              <w:rPr>
                <w:rFonts w:ascii="Verdana" w:hAnsi="Verdana"/>
                <w:lang w:val="el-GR"/>
              </w:rPr>
            </w:pPr>
            <w:r w:rsidRPr="000770B2">
              <w:rPr>
                <w:rFonts w:ascii="Verdana" w:hAnsi="Verdana"/>
                <w:lang w:val="el-GR"/>
              </w:rPr>
              <w:t>σε ημερομηνία που θα καθοριστεί με Γνωστοποίηση του Εφόρου Εταιρειών</w:t>
            </w:r>
          </w:p>
        </w:tc>
      </w:tr>
      <w:tr w:rsidR="009B7FE8" w:rsidRPr="000770B2" w:rsidTr="009B7FE8">
        <w:tc>
          <w:tcPr>
            <w:tcW w:w="2195" w:type="dxa"/>
          </w:tcPr>
          <w:p w:rsidR="009B7FE8" w:rsidRPr="000770B2" w:rsidRDefault="009B7FE8" w:rsidP="003450FB">
            <w:pPr>
              <w:rPr>
                <w:rFonts w:ascii="Verdana" w:hAnsi="Verdana"/>
                <w:lang w:val="el-GR"/>
              </w:rPr>
            </w:pPr>
            <w:r w:rsidRPr="000770B2">
              <w:rPr>
                <w:rFonts w:ascii="Verdana" w:hAnsi="Verdana"/>
                <w:lang w:val="el-GR"/>
              </w:rPr>
              <w:t>Κανονισμός 5</w:t>
            </w:r>
          </w:p>
        </w:tc>
        <w:tc>
          <w:tcPr>
            <w:tcW w:w="8173" w:type="dxa"/>
          </w:tcPr>
          <w:p w:rsidR="009B7FE8" w:rsidRPr="000770B2" w:rsidRDefault="009B7FE8" w:rsidP="003450FB">
            <w:pPr>
              <w:jc w:val="both"/>
              <w:rPr>
                <w:rFonts w:ascii="Verdana" w:hAnsi="Verdana"/>
                <w:lang w:val="el-GR"/>
              </w:rPr>
            </w:pPr>
            <w:r w:rsidRPr="000770B2">
              <w:rPr>
                <w:rFonts w:ascii="Verdana" w:hAnsi="Verdana"/>
                <w:lang w:val="el-GR"/>
              </w:rPr>
              <w:t>Πρόνοια για έκδοση επεξηγηματικών σημειώσεων, οδηγιών και άλλων στοιχείων αναφορικά με τη συμπλήρωση και καταχώριση των εντύπων, από τον Έφορο Εταιρειών.</w:t>
            </w:r>
          </w:p>
        </w:tc>
        <w:tc>
          <w:tcPr>
            <w:tcW w:w="3528" w:type="dxa"/>
          </w:tcPr>
          <w:p w:rsidR="009B7FE8" w:rsidRPr="000770B2" w:rsidRDefault="009B7FE8" w:rsidP="009B7FE8">
            <w:pPr>
              <w:jc w:val="both"/>
              <w:rPr>
                <w:rFonts w:ascii="Verdana" w:hAnsi="Verdana"/>
                <w:lang w:val="el-GR"/>
              </w:rPr>
            </w:pPr>
            <w:r w:rsidRPr="000770B2">
              <w:rPr>
                <w:rFonts w:ascii="Verdana" w:hAnsi="Verdana"/>
                <w:lang w:val="el-GR"/>
              </w:rPr>
              <w:t>ΧΧ/12/2018</w:t>
            </w:r>
          </w:p>
          <w:p w:rsidR="009B7FE8" w:rsidRPr="000770B2" w:rsidRDefault="009B7FE8" w:rsidP="003450FB">
            <w:pPr>
              <w:jc w:val="both"/>
              <w:rPr>
                <w:rFonts w:ascii="Verdana" w:hAnsi="Verdana"/>
                <w:lang w:val="el-GR"/>
              </w:rPr>
            </w:pPr>
          </w:p>
        </w:tc>
      </w:tr>
      <w:tr w:rsidR="009B7FE8" w:rsidRPr="000770B2" w:rsidTr="009B7FE8">
        <w:tc>
          <w:tcPr>
            <w:tcW w:w="2195" w:type="dxa"/>
          </w:tcPr>
          <w:p w:rsidR="009B7FE8" w:rsidRPr="000770B2" w:rsidRDefault="009B7FE8" w:rsidP="003450FB">
            <w:pPr>
              <w:rPr>
                <w:rFonts w:ascii="Verdana" w:hAnsi="Verdana"/>
                <w:lang w:val="el-GR"/>
              </w:rPr>
            </w:pPr>
            <w:r w:rsidRPr="000770B2">
              <w:rPr>
                <w:rFonts w:ascii="Verdana" w:hAnsi="Verdana"/>
                <w:lang w:val="el-GR"/>
              </w:rPr>
              <w:t>Κανονισμός 6</w:t>
            </w:r>
          </w:p>
        </w:tc>
        <w:tc>
          <w:tcPr>
            <w:tcW w:w="8173" w:type="dxa"/>
          </w:tcPr>
          <w:p w:rsidR="009B7FE8" w:rsidRPr="000770B2" w:rsidRDefault="009B7FE8" w:rsidP="009B7FE8">
            <w:pPr>
              <w:jc w:val="both"/>
              <w:rPr>
                <w:rFonts w:ascii="Verdana" w:hAnsi="Verdana"/>
                <w:lang w:val="el-GR"/>
              </w:rPr>
            </w:pPr>
            <w:r w:rsidRPr="000770B2">
              <w:rPr>
                <w:rFonts w:ascii="Verdana" w:hAnsi="Verdana"/>
                <w:lang w:val="el-GR"/>
              </w:rPr>
              <w:t xml:space="preserve">Έναρξη ισχύος .  </w:t>
            </w:r>
          </w:p>
        </w:tc>
        <w:tc>
          <w:tcPr>
            <w:tcW w:w="3528" w:type="dxa"/>
          </w:tcPr>
          <w:p w:rsidR="009B7FE8" w:rsidRPr="000770B2" w:rsidRDefault="009B7FE8" w:rsidP="003450FB">
            <w:pPr>
              <w:jc w:val="both"/>
              <w:rPr>
                <w:rFonts w:ascii="Verdana" w:hAnsi="Verdana"/>
                <w:lang w:val="el-GR"/>
              </w:rPr>
            </w:pPr>
          </w:p>
        </w:tc>
      </w:tr>
    </w:tbl>
    <w:p w:rsidR="00AF4CBF" w:rsidRPr="000770B2" w:rsidRDefault="00AF4CBF" w:rsidP="00AF4CBF">
      <w:pPr>
        <w:spacing w:after="0" w:line="240" w:lineRule="auto"/>
        <w:rPr>
          <w:rFonts w:ascii="Verdana" w:hAnsi="Verdana"/>
          <w:lang w:val="el-GR"/>
        </w:rPr>
      </w:pPr>
    </w:p>
    <w:p w:rsidR="00AF4CBF" w:rsidRPr="000770B2" w:rsidRDefault="00AF4CBF" w:rsidP="00AF4CBF">
      <w:pPr>
        <w:spacing w:after="0" w:line="240" w:lineRule="auto"/>
        <w:rPr>
          <w:rFonts w:ascii="Verdana" w:hAnsi="Verdana"/>
          <w:lang w:val="el-GR"/>
        </w:rPr>
      </w:pPr>
    </w:p>
    <w:p w:rsidR="00AF4CBF" w:rsidRPr="000770B2" w:rsidRDefault="00AF4CBF" w:rsidP="00AF4CBF">
      <w:pPr>
        <w:spacing w:after="0" w:line="240" w:lineRule="auto"/>
        <w:rPr>
          <w:rFonts w:ascii="Verdana" w:hAnsi="Verdana"/>
          <w:lang w:val="el-GR"/>
        </w:rPr>
      </w:pPr>
    </w:p>
    <w:p w:rsidR="00AF4CBF" w:rsidRPr="000770B2" w:rsidRDefault="00AF4CBF" w:rsidP="00AF4CBF">
      <w:pPr>
        <w:spacing w:after="0" w:line="240" w:lineRule="auto"/>
        <w:rPr>
          <w:rFonts w:ascii="Verdana" w:hAnsi="Verdana"/>
          <w:lang w:val="el-GR"/>
        </w:rPr>
      </w:pPr>
    </w:p>
    <w:p w:rsidR="00AF4CBF" w:rsidRPr="000770B2" w:rsidRDefault="00AF4CBF" w:rsidP="00AF4CBF">
      <w:pPr>
        <w:spacing w:after="0" w:line="240" w:lineRule="auto"/>
        <w:rPr>
          <w:rFonts w:ascii="Verdana" w:hAnsi="Verdana"/>
          <w:lang w:val="el-GR"/>
        </w:rPr>
      </w:pPr>
    </w:p>
    <w:p w:rsidR="0051214E" w:rsidRPr="000770B2" w:rsidRDefault="0051214E" w:rsidP="00AF4CBF">
      <w:pPr>
        <w:spacing w:after="0" w:line="240" w:lineRule="auto"/>
        <w:rPr>
          <w:rFonts w:ascii="Verdana" w:hAnsi="Verdana"/>
          <w:lang w:val="el-GR"/>
        </w:rPr>
      </w:pPr>
    </w:p>
    <w:p w:rsidR="007F10A3" w:rsidRPr="000770B2" w:rsidRDefault="007F10A3" w:rsidP="00374371">
      <w:pPr>
        <w:spacing w:after="0" w:line="240" w:lineRule="auto"/>
        <w:rPr>
          <w:rFonts w:ascii="Verdana" w:hAnsi="Verdana"/>
          <w:lang w:val="el-GR"/>
        </w:rPr>
      </w:pPr>
    </w:p>
    <w:p w:rsidR="00AF4CBF" w:rsidRPr="000770B2" w:rsidRDefault="00AF4CBF" w:rsidP="00AD1DB2">
      <w:pPr>
        <w:spacing w:after="0" w:line="240" w:lineRule="auto"/>
        <w:jc w:val="center"/>
        <w:rPr>
          <w:rFonts w:ascii="Verdana" w:hAnsi="Verdana"/>
          <w:b/>
          <w:sz w:val="28"/>
          <w:szCs w:val="28"/>
          <w:lang w:val="el-GR"/>
        </w:rPr>
      </w:pPr>
    </w:p>
    <w:p w:rsidR="00AF4CBF" w:rsidRPr="000770B2" w:rsidRDefault="00AF4CBF" w:rsidP="00AD1DB2">
      <w:pPr>
        <w:spacing w:after="0" w:line="240" w:lineRule="auto"/>
        <w:jc w:val="center"/>
        <w:rPr>
          <w:rFonts w:ascii="Verdana" w:hAnsi="Verdana"/>
          <w:b/>
          <w:sz w:val="28"/>
          <w:szCs w:val="28"/>
          <w:lang w:val="el-GR"/>
        </w:rPr>
      </w:pPr>
    </w:p>
    <w:p w:rsidR="00AF4CBF" w:rsidRPr="000770B2" w:rsidRDefault="00AF4CBF" w:rsidP="00AD1DB2">
      <w:pPr>
        <w:spacing w:after="0" w:line="240" w:lineRule="auto"/>
        <w:jc w:val="center"/>
        <w:rPr>
          <w:rFonts w:ascii="Verdana" w:hAnsi="Verdana"/>
          <w:b/>
          <w:sz w:val="28"/>
          <w:szCs w:val="28"/>
          <w:lang w:val="el-GR"/>
        </w:rPr>
      </w:pPr>
    </w:p>
    <w:p w:rsidR="00AF4CBF" w:rsidRPr="000770B2" w:rsidRDefault="00AF4CBF" w:rsidP="00AD1DB2">
      <w:pPr>
        <w:spacing w:after="0" w:line="240" w:lineRule="auto"/>
        <w:jc w:val="center"/>
        <w:rPr>
          <w:rFonts w:ascii="Verdana" w:hAnsi="Verdana"/>
          <w:b/>
          <w:sz w:val="28"/>
          <w:szCs w:val="28"/>
          <w:lang w:val="el-GR"/>
        </w:rPr>
      </w:pPr>
    </w:p>
    <w:p w:rsidR="00AF4CBF" w:rsidRPr="000770B2" w:rsidRDefault="00AF4CBF" w:rsidP="00AD1DB2">
      <w:pPr>
        <w:spacing w:after="0" w:line="240" w:lineRule="auto"/>
        <w:jc w:val="center"/>
        <w:rPr>
          <w:rFonts w:ascii="Verdana" w:hAnsi="Verdana"/>
          <w:b/>
          <w:sz w:val="28"/>
          <w:szCs w:val="28"/>
          <w:lang w:val="el-GR"/>
        </w:rPr>
      </w:pPr>
    </w:p>
    <w:p w:rsidR="00545BAE" w:rsidRPr="000770B2" w:rsidRDefault="00545BAE" w:rsidP="00AD1DB2">
      <w:pPr>
        <w:spacing w:after="0" w:line="240" w:lineRule="auto"/>
        <w:jc w:val="center"/>
        <w:rPr>
          <w:rFonts w:ascii="Verdana" w:hAnsi="Verdana"/>
          <w:b/>
          <w:sz w:val="28"/>
          <w:szCs w:val="28"/>
          <w:lang w:val="el-GR"/>
        </w:rPr>
      </w:pPr>
    </w:p>
    <w:p w:rsidR="00545BAE" w:rsidRPr="000770B2" w:rsidRDefault="00AD1DB2" w:rsidP="00AD1DB2">
      <w:pPr>
        <w:spacing w:after="0" w:line="240" w:lineRule="auto"/>
        <w:jc w:val="center"/>
        <w:rPr>
          <w:rFonts w:ascii="Verdana" w:hAnsi="Verdana"/>
          <w:b/>
          <w:sz w:val="28"/>
          <w:szCs w:val="28"/>
          <w:lang w:val="el-GR"/>
        </w:rPr>
      </w:pPr>
      <w:r w:rsidRPr="000770B2">
        <w:rPr>
          <w:rFonts w:ascii="Verdana" w:hAnsi="Verdana"/>
          <w:b/>
          <w:sz w:val="28"/>
          <w:szCs w:val="28"/>
          <w:lang w:val="el-GR"/>
        </w:rPr>
        <w:t xml:space="preserve">περί Ευρωπαϊκής Δημόσιας Εταιρείας Περιορισμένης Ευθύνης (SE) </w:t>
      </w:r>
    </w:p>
    <w:p w:rsidR="007F10A3" w:rsidRPr="000770B2" w:rsidRDefault="00AD1DB2" w:rsidP="00AD1DB2">
      <w:pPr>
        <w:spacing w:after="0" w:line="240" w:lineRule="auto"/>
        <w:jc w:val="center"/>
        <w:rPr>
          <w:rFonts w:ascii="Verdana" w:hAnsi="Verdana"/>
          <w:b/>
          <w:sz w:val="28"/>
          <w:szCs w:val="28"/>
          <w:lang w:val="el-GR"/>
        </w:rPr>
      </w:pPr>
      <w:r w:rsidRPr="000770B2">
        <w:rPr>
          <w:rFonts w:ascii="Verdana" w:hAnsi="Verdana"/>
          <w:b/>
          <w:sz w:val="28"/>
          <w:szCs w:val="28"/>
          <w:lang w:val="el-GR"/>
        </w:rPr>
        <w:t>(Τροποποιητικο</w:t>
      </w:r>
      <w:r w:rsidR="008C79C5" w:rsidRPr="000770B2">
        <w:rPr>
          <w:rFonts w:ascii="Verdana" w:hAnsi="Verdana"/>
          <w:b/>
          <w:sz w:val="28"/>
          <w:szCs w:val="28"/>
          <w:lang w:val="el-GR"/>
        </w:rPr>
        <w:t>ί</w:t>
      </w:r>
      <w:r w:rsidRPr="000770B2">
        <w:rPr>
          <w:rFonts w:ascii="Verdana" w:hAnsi="Verdana"/>
          <w:b/>
          <w:sz w:val="28"/>
          <w:szCs w:val="28"/>
          <w:lang w:val="el-GR"/>
        </w:rPr>
        <w:t>) Κανονισμο</w:t>
      </w:r>
      <w:r w:rsidR="008C79C5" w:rsidRPr="000770B2">
        <w:rPr>
          <w:rFonts w:ascii="Verdana" w:hAnsi="Verdana"/>
          <w:b/>
          <w:sz w:val="28"/>
          <w:szCs w:val="28"/>
          <w:lang w:val="el-GR"/>
        </w:rPr>
        <w:t>ί</w:t>
      </w:r>
      <w:r w:rsidRPr="000770B2">
        <w:rPr>
          <w:rFonts w:ascii="Verdana" w:hAnsi="Verdana"/>
          <w:b/>
          <w:sz w:val="28"/>
          <w:szCs w:val="28"/>
          <w:lang w:val="el-GR"/>
        </w:rPr>
        <w:t xml:space="preserve"> του 2018</w:t>
      </w:r>
    </w:p>
    <w:p w:rsidR="00AD1DB2" w:rsidRPr="000770B2" w:rsidRDefault="00AD1DB2" w:rsidP="00AD1DB2">
      <w:pPr>
        <w:spacing w:after="0" w:line="240" w:lineRule="auto"/>
        <w:jc w:val="center"/>
        <w:rPr>
          <w:rFonts w:ascii="Verdana" w:hAnsi="Verdana"/>
          <w:b/>
          <w:sz w:val="28"/>
          <w:szCs w:val="28"/>
          <w:lang w:val="el-GR"/>
        </w:rPr>
      </w:pPr>
    </w:p>
    <w:p w:rsidR="00AD1DB2" w:rsidRPr="000770B2" w:rsidRDefault="00AD1DB2" w:rsidP="00AD1DB2">
      <w:pPr>
        <w:spacing w:after="0" w:line="240" w:lineRule="auto"/>
        <w:jc w:val="center"/>
        <w:rPr>
          <w:rFonts w:ascii="Verdana" w:hAnsi="Verdana"/>
          <w:lang w:val="el-GR"/>
        </w:rPr>
      </w:pPr>
    </w:p>
    <w:tbl>
      <w:tblPr>
        <w:tblStyle w:val="TableGrid"/>
        <w:tblW w:w="13878" w:type="dxa"/>
        <w:tblLook w:val="04A0"/>
      </w:tblPr>
      <w:tblGrid>
        <w:gridCol w:w="2848"/>
        <w:gridCol w:w="11030"/>
      </w:tblGrid>
      <w:tr w:rsidR="00A25547" w:rsidRPr="000770B2" w:rsidTr="00F42364">
        <w:trPr>
          <w:trHeight w:val="550"/>
        </w:trPr>
        <w:tc>
          <w:tcPr>
            <w:tcW w:w="2848" w:type="dxa"/>
            <w:shd w:val="clear" w:color="auto" w:fill="BFBFBF" w:themeFill="background1" w:themeFillShade="BF"/>
            <w:vAlign w:val="center"/>
          </w:tcPr>
          <w:p w:rsidR="00A25547" w:rsidRPr="000770B2" w:rsidRDefault="00A25547" w:rsidP="003450FB">
            <w:pPr>
              <w:jc w:val="center"/>
              <w:rPr>
                <w:rFonts w:ascii="Verdana" w:hAnsi="Verdana"/>
                <w:b/>
                <w:lang w:val="el-GR"/>
              </w:rPr>
            </w:pPr>
            <w:r w:rsidRPr="000770B2">
              <w:rPr>
                <w:rFonts w:ascii="Verdana" w:hAnsi="Verdana"/>
                <w:b/>
                <w:lang w:val="el-GR"/>
              </w:rPr>
              <w:t>Τροποποιητικός Κανονισμός</w:t>
            </w:r>
          </w:p>
        </w:tc>
        <w:tc>
          <w:tcPr>
            <w:tcW w:w="11030" w:type="dxa"/>
            <w:shd w:val="clear" w:color="auto" w:fill="BFBFBF" w:themeFill="background1" w:themeFillShade="BF"/>
            <w:vAlign w:val="center"/>
          </w:tcPr>
          <w:p w:rsidR="00A25547" w:rsidRPr="000770B2" w:rsidRDefault="00A25547" w:rsidP="003450FB">
            <w:pPr>
              <w:jc w:val="center"/>
              <w:rPr>
                <w:rFonts w:ascii="Verdana" w:hAnsi="Verdana"/>
                <w:b/>
                <w:lang w:val="el-GR"/>
              </w:rPr>
            </w:pPr>
            <w:r w:rsidRPr="000770B2">
              <w:rPr>
                <w:rFonts w:ascii="Verdana" w:hAnsi="Verdana"/>
                <w:b/>
                <w:lang w:val="el-GR"/>
              </w:rPr>
              <w:t>Περιγραφή</w:t>
            </w:r>
          </w:p>
        </w:tc>
      </w:tr>
      <w:tr w:rsidR="00A25547" w:rsidRPr="00FE3152" w:rsidTr="00F42364">
        <w:trPr>
          <w:trHeight w:val="566"/>
        </w:trPr>
        <w:tc>
          <w:tcPr>
            <w:tcW w:w="2848" w:type="dxa"/>
          </w:tcPr>
          <w:p w:rsidR="00A25547" w:rsidRPr="000770B2" w:rsidRDefault="00A25547" w:rsidP="003450FB">
            <w:pPr>
              <w:rPr>
                <w:rFonts w:ascii="Verdana" w:hAnsi="Verdana"/>
                <w:lang w:val="el-GR"/>
              </w:rPr>
            </w:pPr>
            <w:r w:rsidRPr="000770B2">
              <w:rPr>
                <w:rFonts w:ascii="Verdana" w:hAnsi="Verdana"/>
                <w:lang w:val="el-GR"/>
              </w:rPr>
              <w:t>Κανονισμός 2</w:t>
            </w:r>
          </w:p>
        </w:tc>
        <w:tc>
          <w:tcPr>
            <w:tcW w:w="11030" w:type="dxa"/>
          </w:tcPr>
          <w:p w:rsidR="00A25547" w:rsidRPr="000770B2" w:rsidRDefault="00A25547">
            <w:pPr>
              <w:jc w:val="both"/>
              <w:rPr>
                <w:rFonts w:ascii="Verdana" w:hAnsi="Verdana"/>
                <w:lang w:val="el-GR"/>
              </w:rPr>
            </w:pPr>
            <w:r w:rsidRPr="000770B2">
              <w:rPr>
                <w:rFonts w:ascii="Verdana" w:hAnsi="Verdana"/>
                <w:lang w:val="el-GR"/>
              </w:rPr>
              <w:t>Προσθήκη νέου ορισμού αναφορικά με την ονοματολογία Ν</w:t>
            </w:r>
            <w:r w:rsidRPr="000770B2">
              <w:rPr>
                <w:rFonts w:ascii="Verdana" w:hAnsi="Verdana"/>
                <w:lang w:val="en-GB"/>
              </w:rPr>
              <w:t>AC</w:t>
            </w:r>
            <w:r w:rsidRPr="000770B2">
              <w:rPr>
                <w:rFonts w:ascii="Verdana" w:hAnsi="Verdana"/>
                <w:lang w:val="el-GR"/>
              </w:rPr>
              <w:t xml:space="preserve">Ε </w:t>
            </w:r>
          </w:p>
          <w:p w:rsidR="00A25547" w:rsidRPr="000770B2" w:rsidRDefault="00A25547">
            <w:pPr>
              <w:jc w:val="both"/>
              <w:rPr>
                <w:rFonts w:ascii="Verdana" w:hAnsi="Verdana"/>
                <w:lang w:val="el-GR"/>
              </w:rPr>
            </w:pPr>
          </w:p>
        </w:tc>
      </w:tr>
      <w:tr w:rsidR="00A25547" w:rsidRPr="00FE3152" w:rsidTr="00F42364">
        <w:trPr>
          <w:trHeight w:val="550"/>
        </w:trPr>
        <w:tc>
          <w:tcPr>
            <w:tcW w:w="2848" w:type="dxa"/>
          </w:tcPr>
          <w:p w:rsidR="00A25547" w:rsidRPr="000770B2" w:rsidRDefault="00A25547" w:rsidP="003450FB">
            <w:pPr>
              <w:rPr>
                <w:rFonts w:ascii="Verdana" w:hAnsi="Verdana"/>
                <w:lang w:val="el-GR"/>
              </w:rPr>
            </w:pPr>
            <w:r w:rsidRPr="000770B2">
              <w:rPr>
                <w:rFonts w:ascii="Verdana" w:hAnsi="Verdana"/>
                <w:lang w:val="el-GR"/>
              </w:rPr>
              <w:t>Κανονισμός 3</w:t>
            </w:r>
          </w:p>
          <w:p w:rsidR="00A25547" w:rsidRPr="000770B2" w:rsidRDefault="00A25547" w:rsidP="003450FB">
            <w:pPr>
              <w:rPr>
                <w:rFonts w:ascii="Verdana" w:hAnsi="Verdana"/>
                <w:lang w:val="el-GR"/>
              </w:rPr>
            </w:pPr>
          </w:p>
        </w:tc>
        <w:tc>
          <w:tcPr>
            <w:tcW w:w="11030" w:type="dxa"/>
          </w:tcPr>
          <w:p w:rsidR="00A25547" w:rsidRPr="000770B2" w:rsidRDefault="00A25547">
            <w:pPr>
              <w:jc w:val="both"/>
              <w:rPr>
                <w:rFonts w:ascii="Verdana" w:hAnsi="Verdana"/>
                <w:lang w:val="el-GR"/>
              </w:rPr>
            </w:pPr>
            <w:r w:rsidRPr="000770B2">
              <w:rPr>
                <w:rFonts w:ascii="Verdana" w:hAnsi="Verdana"/>
                <w:lang w:val="el-GR"/>
              </w:rPr>
              <w:t>Πρόνοια για τη χρήση ηλεκτρονικής εφημερίδας του Εφόρου Εταιρειών για τις αναγκαίες δημοσιεύσεις.</w:t>
            </w:r>
          </w:p>
        </w:tc>
      </w:tr>
      <w:tr w:rsidR="00A25547" w:rsidRPr="00FE3152" w:rsidTr="00F42364">
        <w:trPr>
          <w:trHeight w:val="550"/>
        </w:trPr>
        <w:tc>
          <w:tcPr>
            <w:tcW w:w="2848" w:type="dxa"/>
          </w:tcPr>
          <w:p w:rsidR="00A25547" w:rsidRPr="000770B2" w:rsidRDefault="00A25547" w:rsidP="000351AD">
            <w:pPr>
              <w:rPr>
                <w:rFonts w:ascii="Verdana" w:hAnsi="Verdana"/>
              </w:rPr>
            </w:pPr>
            <w:r w:rsidRPr="000770B2">
              <w:rPr>
                <w:rFonts w:ascii="Verdana" w:hAnsi="Verdana"/>
                <w:lang w:val="el-GR"/>
              </w:rPr>
              <w:t xml:space="preserve">Κανονισμός </w:t>
            </w:r>
            <w:r w:rsidRPr="000770B2">
              <w:rPr>
                <w:rFonts w:ascii="Verdana" w:hAnsi="Verdana"/>
              </w:rPr>
              <w:t>4</w:t>
            </w:r>
          </w:p>
        </w:tc>
        <w:tc>
          <w:tcPr>
            <w:tcW w:w="11030" w:type="dxa"/>
          </w:tcPr>
          <w:p w:rsidR="00A25547" w:rsidRPr="000770B2" w:rsidRDefault="00A25547" w:rsidP="00CB614C">
            <w:pPr>
              <w:jc w:val="both"/>
              <w:rPr>
                <w:rFonts w:ascii="Verdana" w:hAnsi="Verdana"/>
                <w:lang w:val="el-GR"/>
              </w:rPr>
            </w:pPr>
            <w:r w:rsidRPr="000770B2">
              <w:rPr>
                <w:rFonts w:ascii="Verdana" w:hAnsi="Verdana"/>
                <w:lang w:val="el-GR"/>
              </w:rPr>
              <w:t>Πρόνοια για τήρηση μητρώου μελών του διοικητικού οργάνου για μονιστικό σύστημα.</w:t>
            </w:r>
          </w:p>
        </w:tc>
      </w:tr>
      <w:tr w:rsidR="00A25547" w:rsidRPr="00FE3152" w:rsidTr="00F42364">
        <w:trPr>
          <w:trHeight w:val="833"/>
        </w:trPr>
        <w:tc>
          <w:tcPr>
            <w:tcW w:w="2848" w:type="dxa"/>
          </w:tcPr>
          <w:p w:rsidR="00A25547" w:rsidRPr="000770B2" w:rsidRDefault="00A25547" w:rsidP="000351AD">
            <w:pPr>
              <w:rPr>
                <w:rFonts w:ascii="Verdana" w:hAnsi="Verdana"/>
              </w:rPr>
            </w:pPr>
            <w:r w:rsidRPr="000770B2">
              <w:rPr>
                <w:rFonts w:ascii="Verdana" w:hAnsi="Verdana"/>
                <w:lang w:val="el-GR"/>
              </w:rPr>
              <w:t xml:space="preserve">Κανονισμός </w:t>
            </w:r>
            <w:r w:rsidRPr="000770B2">
              <w:rPr>
                <w:rFonts w:ascii="Verdana" w:hAnsi="Verdana"/>
              </w:rPr>
              <w:t>5</w:t>
            </w:r>
          </w:p>
        </w:tc>
        <w:tc>
          <w:tcPr>
            <w:tcW w:w="11030" w:type="dxa"/>
          </w:tcPr>
          <w:p w:rsidR="00A25547" w:rsidRPr="000770B2" w:rsidRDefault="00A25547" w:rsidP="00DD02DA">
            <w:pPr>
              <w:jc w:val="both"/>
              <w:rPr>
                <w:rFonts w:ascii="Verdana" w:hAnsi="Verdana"/>
                <w:lang w:val="el-GR"/>
              </w:rPr>
            </w:pPr>
            <w:r w:rsidRPr="000770B2">
              <w:rPr>
                <w:rFonts w:ascii="Verdana" w:hAnsi="Verdana"/>
                <w:lang w:val="el-GR"/>
              </w:rPr>
              <w:t>Πρόνοια για έκδοση επεξηγηματικών σημειώσεων, οδηγιών και άλλων στοιχείων αναφορικά με τη συμπλήρωση και καταχώριση των εντύπων, από τον Έφορο Εταιρειών.</w:t>
            </w:r>
          </w:p>
        </w:tc>
      </w:tr>
      <w:tr w:rsidR="00A25547" w:rsidRPr="00FE3152" w:rsidTr="00F42364">
        <w:trPr>
          <w:trHeight w:val="566"/>
        </w:trPr>
        <w:tc>
          <w:tcPr>
            <w:tcW w:w="2848" w:type="dxa"/>
          </w:tcPr>
          <w:p w:rsidR="00A25547" w:rsidRPr="000770B2" w:rsidRDefault="00A25547" w:rsidP="000351AD">
            <w:pPr>
              <w:rPr>
                <w:rFonts w:ascii="Verdana" w:hAnsi="Verdana"/>
              </w:rPr>
            </w:pPr>
            <w:r w:rsidRPr="000770B2">
              <w:rPr>
                <w:rFonts w:ascii="Verdana" w:hAnsi="Verdana"/>
                <w:lang w:val="el-GR"/>
              </w:rPr>
              <w:t xml:space="preserve">Κανονισμός </w:t>
            </w:r>
            <w:r w:rsidRPr="000770B2">
              <w:rPr>
                <w:rFonts w:ascii="Verdana" w:hAnsi="Verdana"/>
              </w:rPr>
              <w:t>6</w:t>
            </w:r>
          </w:p>
        </w:tc>
        <w:tc>
          <w:tcPr>
            <w:tcW w:w="11030" w:type="dxa"/>
          </w:tcPr>
          <w:p w:rsidR="00A25547" w:rsidRPr="000770B2" w:rsidRDefault="00A25547" w:rsidP="00DD02DA">
            <w:pPr>
              <w:jc w:val="both"/>
              <w:rPr>
                <w:rFonts w:ascii="Verdana" w:hAnsi="Verdana"/>
                <w:lang w:val="el-GR"/>
              </w:rPr>
            </w:pPr>
            <w:r w:rsidRPr="000770B2">
              <w:rPr>
                <w:rFonts w:ascii="Verdana" w:hAnsi="Verdana"/>
                <w:lang w:val="el-GR"/>
              </w:rPr>
              <w:t xml:space="preserve"> Αντικατάσταση του Παραρτήματος που περιλαμβάνει τα έντυπα των ευρωπαϊκών εταιρειών.</w:t>
            </w:r>
          </w:p>
        </w:tc>
      </w:tr>
      <w:tr w:rsidR="00A25547" w:rsidRPr="006E06F9" w:rsidTr="00F42364">
        <w:trPr>
          <w:trHeight w:val="283"/>
        </w:trPr>
        <w:tc>
          <w:tcPr>
            <w:tcW w:w="2848" w:type="dxa"/>
          </w:tcPr>
          <w:p w:rsidR="00A25547" w:rsidRPr="000770B2" w:rsidRDefault="00A25547" w:rsidP="000351AD">
            <w:pPr>
              <w:rPr>
                <w:rFonts w:ascii="Verdana" w:hAnsi="Verdana"/>
                <w:lang w:val="el-GR"/>
              </w:rPr>
            </w:pPr>
            <w:r w:rsidRPr="000770B2">
              <w:rPr>
                <w:rFonts w:ascii="Verdana" w:hAnsi="Verdana"/>
                <w:lang w:val="el-GR"/>
              </w:rPr>
              <w:t xml:space="preserve">Κανονισμός </w:t>
            </w:r>
            <w:r w:rsidRPr="000770B2">
              <w:rPr>
                <w:rFonts w:ascii="Verdana" w:hAnsi="Verdana"/>
              </w:rPr>
              <w:t>7</w:t>
            </w:r>
            <w:r w:rsidRPr="000770B2">
              <w:rPr>
                <w:rFonts w:ascii="Verdana" w:hAnsi="Verdana"/>
                <w:lang w:val="el-GR"/>
              </w:rPr>
              <w:t xml:space="preserve"> </w:t>
            </w:r>
          </w:p>
        </w:tc>
        <w:tc>
          <w:tcPr>
            <w:tcW w:w="11030" w:type="dxa"/>
          </w:tcPr>
          <w:p w:rsidR="00A25547" w:rsidRDefault="00A25547" w:rsidP="00576E1C">
            <w:pPr>
              <w:jc w:val="both"/>
              <w:rPr>
                <w:rFonts w:ascii="Verdana" w:hAnsi="Verdana"/>
                <w:lang w:val="el-GR"/>
              </w:rPr>
            </w:pPr>
            <w:r w:rsidRPr="000770B2">
              <w:rPr>
                <w:rFonts w:ascii="Verdana" w:hAnsi="Verdana"/>
                <w:lang w:val="el-GR"/>
              </w:rPr>
              <w:t>Έναρξη ισχύος.</w:t>
            </w:r>
            <w:r>
              <w:rPr>
                <w:rFonts w:ascii="Verdana" w:hAnsi="Verdana"/>
                <w:lang w:val="el-GR"/>
              </w:rPr>
              <w:t xml:space="preserve">  </w:t>
            </w:r>
          </w:p>
        </w:tc>
      </w:tr>
    </w:tbl>
    <w:p w:rsidR="007F10A3" w:rsidRPr="00ED53C1" w:rsidRDefault="007F10A3" w:rsidP="007F10A3">
      <w:pPr>
        <w:spacing w:after="0" w:line="240" w:lineRule="auto"/>
        <w:rPr>
          <w:rFonts w:ascii="Verdana" w:hAnsi="Verdana"/>
          <w:lang w:val="el-GR"/>
        </w:rPr>
      </w:pPr>
    </w:p>
    <w:p w:rsidR="007F10A3" w:rsidRDefault="007F10A3" w:rsidP="00374371">
      <w:pPr>
        <w:spacing w:after="0" w:line="240" w:lineRule="auto"/>
        <w:rPr>
          <w:rFonts w:ascii="Verdana" w:hAnsi="Verdana"/>
          <w:lang w:val="el-GR"/>
        </w:rPr>
      </w:pPr>
    </w:p>
    <w:p w:rsidR="00A25547" w:rsidRDefault="00A25547" w:rsidP="00374371">
      <w:pPr>
        <w:spacing w:after="0" w:line="240" w:lineRule="auto"/>
        <w:rPr>
          <w:rFonts w:ascii="Verdana" w:hAnsi="Verdana"/>
          <w:lang w:val="el-GR"/>
        </w:rPr>
      </w:pPr>
    </w:p>
    <w:p w:rsidR="002C517B" w:rsidRDefault="002C517B" w:rsidP="00374371">
      <w:pPr>
        <w:spacing w:after="0" w:line="240" w:lineRule="auto"/>
        <w:rPr>
          <w:rFonts w:ascii="Verdana" w:hAnsi="Verdana"/>
          <w:lang w:val="el-GR"/>
        </w:rPr>
      </w:pPr>
    </w:p>
    <w:p w:rsidR="002C517B" w:rsidRDefault="002C517B" w:rsidP="00374371">
      <w:pPr>
        <w:spacing w:after="0" w:line="240" w:lineRule="auto"/>
        <w:rPr>
          <w:rFonts w:ascii="Verdana" w:hAnsi="Verdana"/>
          <w:lang w:val="el-GR"/>
        </w:rPr>
      </w:pPr>
    </w:p>
    <w:p w:rsidR="002C517B" w:rsidRDefault="002C517B" w:rsidP="00374371">
      <w:pPr>
        <w:spacing w:after="0" w:line="240" w:lineRule="auto"/>
        <w:rPr>
          <w:rFonts w:ascii="Verdana" w:hAnsi="Verdana"/>
          <w:lang w:val="el-GR"/>
        </w:rPr>
      </w:pPr>
    </w:p>
    <w:p w:rsidR="002C517B" w:rsidRDefault="002C517B" w:rsidP="00374371">
      <w:pPr>
        <w:spacing w:after="0" w:line="240" w:lineRule="auto"/>
        <w:rPr>
          <w:rFonts w:ascii="Verdana" w:hAnsi="Verdana"/>
          <w:lang w:val="el-GR"/>
        </w:rPr>
      </w:pPr>
    </w:p>
    <w:p w:rsidR="002C517B" w:rsidRDefault="002C517B" w:rsidP="00374371">
      <w:pPr>
        <w:spacing w:after="0" w:line="240" w:lineRule="auto"/>
        <w:rPr>
          <w:rFonts w:ascii="Verdana" w:hAnsi="Verdana"/>
          <w:lang w:val="el-GR"/>
        </w:rPr>
      </w:pPr>
    </w:p>
    <w:p w:rsidR="00576E1C" w:rsidRDefault="00576E1C" w:rsidP="00374371">
      <w:pPr>
        <w:spacing w:after="0" w:line="240" w:lineRule="auto"/>
        <w:rPr>
          <w:rFonts w:ascii="Verdana" w:hAnsi="Verdana"/>
          <w:lang w:val="el-GR"/>
        </w:rPr>
      </w:pPr>
    </w:p>
    <w:p w:rsidR="002C517B" w:rsidRDefault="002C517B" w:rsidP="00374371">
      <w:pPr>
        <w:spacing w:after="0" w:line="240" w:lineRule="auto"/>
        <w:rPr>
          <w:rFonts w:ascii="Verdana" w:hAnsi="Verdana"/>
          <w:lang w:val="el-GR"/>
        </w:rPr>
      </w:pPr>
    </w:p>
    <w:p w:rsidR="002C517B" w:rsidRDefault="002C517B" w:rsidP="00374371">
      <w:pPr>
        <w:spacing w:after="0" w:line="240" w:lineRule="auto"/>
        <w:rPr>
          <w:rFonts w:ascii="Verdana" w:hAnsi="Verdana"/>
          <w:lang w:val="el-GR"/>
        </w:rPr>
      </w:pPr>
    </w:p>
    <w:p w:rsidR="0051214E" w:rsidRDefault="0051214E" w:rsidP="00374371">
      <w:pPr>
        <w:spacing w:after="0" w:line="240" w:lineRule="auto"/>
        <w:rPr>
          <w:rFonts w:ascii="Verdana" w:hAnsi="Verdana"/>
          <w:lang w:val="el-GR"/>
        </w:rPr>
      </w:pPr>
    </w:p>
    <w:p w:rsidR="00545BAE" w:rsidRDefault="00AF4CBF" w:rsidP="00AF4CBF">
      <w:pPr>
        <w:spacing w:after="0" w:line="240" w:lineRule="auto"/>
        <w:jc w:val="center"/>
        <w:rPr>
          <w:rFonts w:ascii="Verdana" w:hAnsi="Verdana"/>
          <w:b/>
          <w:sz w:val="28"/>
          <w:szCs w:val="28"/>
          <w:lang w:val="el-GR"/>
        </w:rPr>
      </w:pPr>
      <w:r w:rsidRPr="00AF4CBF">
        <w:rPr>
          <w:rFonts w:ascii="Verdana" w:hAnsi="Verdana"/>
          <w:b/>
          <w:sz w:val="28"/>
          <w:szCs w:val="28"/>
          <w:lang w:val="el-GR"/>
        </w:rPr>
        <w:t xml:space="preserve">περί της Μεταφοράς Εγγεγραμμένου Γραφείου Εταιρειών </w:t>
      </w:r>
    </w:p>
    <w:p w:rsidR="00F427AD" w:rsidRDefault="00AF4CBF" w:rsidP="00AF4CBF">
      <w:pPr>
        <w:spacing w:after="0" w:line="240" w:lineRule="auto"/>
        <w:jc w:val="center"/>
        <w:rPr>
          <w:rFonts w:ascii="Verdana" w:hAnsi="Verdana"/>
          <w:b/>
          <w:sz w:val="28"/>
          <w:szCs w:val="28"/>
          <w:lang w:val="el-GR"/>
        </w:rPr>
      </w:pPr>
      <w:r w:rsidRPr="00AF4CBF">
        <w:rPr>
          <w:rFonts w:ascii="Verdana" w:hAnsi="Verdana"/>
          <w:b/>
          <w:sz w:val="28"/>
          <w:szCs w:val="28"/>
          <w:lang w:val="el-GR"/>
        </w:rPr>
        <w:lastRenderedPageBreak/>
        <w:t>εντός και εκτός της Δημοκρατίας</w:t>
      </w:r>
      <w:r>
        <w:rPr>
          <w:rFonts w:ascii="Verdana" w:hAnsi="Verdana"/>
          <w:b/>
          <w:sz w:val="28"/>
          <w:szCs w:val="28"/>
          <w:lang w:val="el-GR"/>
        </w:rPr>
        <w:t xml:space="preserve"> (Τροποποιητικ</w:t>
      </w:r>
      <w:r w:rsidR="008C79C5">
        <w:rPr>
          <w:rFonts w:ascii="Verdana" w:hAnsi="Verdana"/>
          <w:b/>
          <w:sz w:val="28"/>
          <w:szCs w:val="28"/>
          <w:lang w:val="el-GR"/>
        </w:rPr>
        <w:t>οί</w:t>
      </w:r>
      <w:r>
        <w:rPr>
          <w:rFonts w:ascii="Verdana" w:hAnsi="Verdana"/>
          <w:b/>
          <w:sz w:val="28"/>
          <w:szCs w:val="28"/>
          <w:lang w:val="el-GR"/>
        </w:rPr>
        <w:t>) Κανονισμο</w:t>
      </w:r>
      <w:r w:rsidR="008C79C5">
        <w:rPr>
          <w:rFonts w:ascii="Verdana" w:hAnsi="Verdana"/>
          <w:b/>
          <w:sz w:val="28"/>
          <w:szCs w:val="28"/>
          <w:lang w:val="el-GR"/>
        </w:rPr>
        <w:t>ί</w:t>
      </w:r>
      <w:r>
        <w:rPr>
          <w:rFonts w:ascii="Verdana" w:hAnsi="Verdana"/>
          <w:b/>
          <w:sz w:val="28"/>
          <w:szCs w:val="28"/>
          <w:lang w:val="el-GR"/>
        </w:rPr>
        <w:t xml:space="preserve"> του 2018</w:t>
      </w:r>
    </w:p>
    <w:p w:rsidR="00AF4CBF" w:rsidRDefault="00AF4CBF" w:rsidP="00AF4CBF">
      <w:pPr>
        <w:spacing w:after="0" w:line="240" w:lineRule="auto"/>
        <w:jc w:val="center"/>
        <w:rPr>
          <w:rFonts w:ascii="Verdana" w:hAnsi="Verdana"/>
          <w:b/>
          <w:sz w:val="28"/>
          <w:szCs w:val="28"/>
          <w:lang w:val="el-GR"/>
        </w:rPr>
      </w:pPr>
    </w:p>
    <w:p w:rsidR="00AF4CBF" w:rsidRDefault="00AF4CBF" w:rsidP="00AF4CBF">
      <w:pPr>
        <w:spacing w:after="0" w:line="240" w:lineRule="auto"/>
        <w:jc w:val="center"/>
        <w:rPr>
          <w:rFonts w:ascii="Verdana" w:hAnsi="Verdana"/>
          <w:lang w:val="el-GR"/>
        </w:rPr>
      </w:pPr>
    </w:p>
    <w:tbl>
      <w:tblPr>
        <w:tblStyle w:val="TableGrid"/>
        <w:tblW w:w="0" w:type="auto"/>
        <w:tblLook w:val="04A0"/>
      </w:tblPr>
      <w:tblGrid>
        <w:gridCol w:w="2713"/>
        <w:gridCol w:w="11165"/>
      </w:tblGrid>
      <w:tr w:rsidR="00A25547" w:rsidRPr="00FB07AE" w:rsidTr="00F42364">
        <w:trPr>
          <w:trHeight w:val="556"/>
        </w:trPr>
        <w:tc>
          <w:tcPr>
            <w:tcW w:w="2713" w:type="dxa"/>
            <w:shd w:val="clear" w:color="auto" w:fill="BFBFBF" w:themeFill="background1" w:themeFillShade="BF"/>
            <w:vAlign w:val="center"/>
          </w:tcPr>
          <w:p w:rsidR="00A25547" w:rsidRPr="00FB07AE" w:rsidRDefault="00A25547" w:rsidP="003450FB">
            <w:pPr>
              <w:jc w:val="center"/>
              <w:rPr>
                <w:rFonts w:ascii="Verdana" w:hAnsi="Verdana"/>
                <w:b/>
                <w:lang w:val="el-GR"/>
              </w:rPr>
            </w:pPr>
            <w:r w:rsidRPr="00FB07AE">
              <w:rPr>
                <w:rFonts w:ascii="Verdana" w:hAnsi="Verdana"/>
                <w:b/>
                <w:lang w:val="el-GR"/>
              </w:rPr>
              <w:t>Τροποποιητικό</w:t>
            </w:r>
            <w:r>
              <w:rPr>
                <w:rFonts w:ascii="Verdana" w:hAnsi="Verdana"/>
                <w:b/>
                <w:lang w:val="el-GR"/>
              </w:rPr>
              <w:t>ς</w:t>
            </w:r>
            <w:r w:rsidRPr="00FB07AE">
              <w:rPr>
                <w:rFonts w:ascii="Verdana" w:hAnsi="Verdana"/>
                <w:b/>
                <w:lang w:val="el-GR"/>
              </w:rPr>
              <w:t xml:space="preserve"> </w:t>
            </w:r>
            <w:r>
              <w:rPr>
                <w:rFonts w:ascii="Verdana" w:hAnsi="Verdana"/>
                <w:b/>
                <w:lang w:val="el-GR"/>
              </w:rPr>
              <w:t>Κανονισμός</w:t>
            </w:r>
          </w:p>
        </w:tc>
        <w:tc>
          <w:tcPr>
            <w:tcW w:w="11165" w:type="dxa"/>
            <w:shd w:val="clear" w:color="auto" w:fill="BFBFBF" w:themeFill="background1" w:themeFillShade="BF"/>
            <w:vAlign w:val="center"/>
          </w:tcPr>
          <w:p w:rsidR="00A25547" w:rsidRPr="00FB07AE" w:rsidRDefault="00A25547" w:rsidP="003450FB">
            <w:pPr>
              <w:jc w:val="center"/>
              <w:rPr>
                <w:rFonts w:ascii="Verdana" w:hAnsi="Verdana"/>
                <w:b/>
                <w:lang w:val="el-GR"/>
              </w:rPr>
            </w:pPr>
            <w:r w:rsidRPr="00FB07AE">
              <w:rPr>
                <w:rFonts w:ascii="Verdana" w:hAnsi="Verdana"/>
                <w:b/>
                <w:lang w:val="el-GR"/>
              </w:rPr>
              <w:t>Περιγραφή</w:t>
            </w:r>
          </w:p>
        </w:tc>
      </w:tr>
      <w:tr w:rsidR="00A25547" w:rsidRPr="00FE3152" w:rsidTr="00F42364">
        <w:trPr>
          <w:trHeight w:val="572"/>
        </w:trPr>
        <w:tc>
          <w:tcPr>
            <w:tcW w:w="2713" w:type="dxa"/>
          </w:tcPr>
          <w:p w:rsidR="00A25547" w:rsidRPr="00ED53C1" w:rsidRDefault="00A25547" w:rsidP="003450FB">
            <w:pPr>
              <w:rPr>
                <w:rFonts w:ascii="Verdana" w:hAnsi="Verdana"/>
                <w:lang w:val="el-GR"/>
              </w:rPr>
            </w:pPr>
            <w:r>
              <w:rPr>
                <w:rFonts w:ascii="Verdana" w:hAnsi="Verdana"/>
                <w:lang w:val="el-GR"/>
              </w:rPr>
              <w:t>Κανονισμός</w:t>
            </w:r>
            <w:r w:rsidRPr="00ED53C1">
              <w:rPr>
                <w:rFonts w:ascii="Verdana" w:hAnsi="Verdana"/>
                <w:lang w:val="el-GR"/>
              </w:rPr>
              <w:t xml:space="preserve"> 2</w:t>
            </w:r>
          </w:p>
        </w:tc>
        <w:tc>
          <w:tcPr>
            <w:tcW w:w="11165" w:type="dxa"/>
          </w:tcPr>
          <w:p w:rsidR="00A25547" w:rsidRDefault="00A25547" w:rsidP="003450FB">
            <w:pPr>
              <w:jc w:val="both"/>
              <w:rPr>
                <w:rFonts w:ascii="Verdana" w:hAnsi="Verdana"/>
                <w:lang w:val="el-GR"/>
              </w:rPr>
            </w:pPr>
            <w:r>
              <w:rPr>
                <w:rFonts w:ascii="Verdana" w:hAnsi="Verdana"/>
                <w:lang w:val="el-GR"/>
              </w:rPr>
              <w:t>(α) Πρόνοια για ενοποίηση των εντύπων ΜΕΑ και ΜΕ1.</w:t>
            </w:r>
          </w:p>
          <w:p w:rsidR="00A25547" w:rsidRPr="00ED53C1" w:rsidRDefault="00A25547">
            <w:pPr>
              <w:jc w:val="both"/>
              <w:rPr>
                <w:rFonts w:ascii="Verdana" w:hAnsi="Verdana"/>
                <w:lang w:val="el-GR"/>
              </w:rPr>
            </w:pPr>
            <w:r>
              <w:rPr>
                <w:rFonts w:ascii="Verdana" w:hAnsi="Verdana"/>
                <w:lang w:val="el-GR"/>
              </w:rPr>
              <w:t xml:space="preserve">(β) Απλοποίηση συμπλήρωσης εντύπου λόγω ανασχεδιασμού. </w:t>
            </w:r>
          </w:p>
        </w:tc>
      </w:tr>
      <w:tr w:rsidR="00A25547" w:rsidRPr="00FE3152" w:rsidTr="00F42364">
        <w:trPr>
          <w:trHeight w:val="1112"/>
        </w:trPr>
        <w:tc>
          <w:tcPr>
            <w:tcW w:w="2713" w:type="dxa"/>
          </w:tcPr>
          <w:p w:rsidR="00A25547" w:rsidRDefault="00A25547" w:rsidP="003450FB">
            <w:pPr>
              <w:rPr>
                <w:rFonts w:ascii="Verdana" w:hAnsi="Verdana"/>
                <w:lang w:val="el-GR"/>
              </w:rPr>
            </w:pPr>
            <w:r>
              <w:rPr>
                <w:rFonts w:ascii="Verdana" w:hAnsi="Verdana"/>
                <w:lang w:val="el-GR"/>
              </w:rPr>
              <w:t>Κανονισμός 3</w:t>
            </w:r>
          </w:p>
        </w:tc>
        <w:tc>
          <w:tcPr>
            <w:tcW w:w="11165" w:type="dxa"/>
          </w:tcPr>
          <w:p w:rsidR="00A25547" w:rsidRDefault="00A25547" w:rsidP="003450FB">
            <w:pPr>
              <w:jc w:val="both"/>
              <w:rPr>
                <w:rFonts w:ascii="Verdana" w:hAnsi="Verdana"/>
                <w:lang w:val="el-GR"/>
              </w:rPr>
            </w:pPr>
            <w:r>
              <w:rPr>
                <w:rFonts w:ascii="Verdana" w:hAnsi="Verdana"/>
                <w:lang w:val="el-GR"/>
              </w:rPr>
              <w:t>(α) Διαγραφή υποχρέωσης προσκόμισης καταλόγων αξιωματούχων και μελών και αντικατάστασή της με συμπλήρωσης των στοιχείων στο έντυπο.</w:t>
            </w:r>
          </w:p>
          <w:p w:rsidR="00A25547" w:rsidRDefault="00A25547">
            <w:pPr>
              <w:jc w:val="both"/>
              <w:rPr>
                <w:rFonts w:ascii="Verdana" w:hAnsi="Verdana"/>
                <w:lang w:val="el-GR"/>
              </w:rPr>
            </w:pPr>
            <w:r>
              <w:rPr>
                <w:rFonts w:ascii="Verdana" w:hAnsi="Verdana"/>
                <w:lang w:val="el-GR"/>
              </w:rPr>
              <w:t xml:space="preserve">(β) Απλοποίηση των αιτούμενων στοιχείων που ζητούνται για το έντυπο ΜΕ1 </w:t>
            </w:r>
          </w:p>
        </w:tc>
      </w:tr>
      <w:tr w:rsidR="00A25547" w:rsidRPr="00FE3152" w:rsidTr="00F42364">
        <w:trPr>
          <w:trHeight w:val="286"/>
        </w:trPr>
        <w:tc>
          <w:tcPr>
            <w:tcW w:w="2713" w:type="dxa"/>
          </w:tcPr>
          <w:p w:rsidR="00A25547" w:rsidRDefault="00A25547" w:rsidP="009C5AF7">
            <w:pPr>
              <w:rPr>
                <w:rFonts w:ascii="Verdana" w:hAnsi="Verdana"/>
                <w:lang w:val="el-GR"/>
              </w:rPr>
            </w:pPr>
            <w:r>
              <w:rPr>
                <w:rFonts w:ascii="Verdana" w:hAnsi="Verdana"/>
                <w:lang w:val="el-GR"/>
              </w:rPr>
              <w:t>Κανονισμός 4</w:t>
            </w:r>
          </w:p>
        </w:tc>
        <w:tc>
          <w:tcPr>
            <w:tcW w:w="11165" w:type="dxa"/>
          </w:tcPr>
          <w:p w:rsidR="00A25547" w:rsidRDefault="00A25547" w:rsidP="00576E1C">
            <w:pPr>
              <w:jc w:val="both"/>
              <w:rPr>
                <w:rFonts w:ascii="Verdana" w:hAnsi="Verdana"/>
                <w:lang w:val="el-GR"/>
              </w:rPr>
            </w:pPr>
            <w:r>
              <w:rPr>
                <w:rFonts w:ascii="Verdana" w:hAnsi="Verdana"/>
                <w:lang w:val="el-GR"/>
              </w:rPr>
              <w:t>Αντικατάσταση ένορκης δήλωσης με θέσμια δήλωση.</w:t>
            </w:r>
          </w:p>
        </w:tc>
      </w:tr>
      <w:tr w:rsidR="00A25547" w:rsidRPr="00FE3152" w:rsidTr="00F42364">
        <w:trPr>
          <w:trHeight w:val="556"/>
        </w:trPr>
        <w:tc>
          <w:tcPr>
            <w:tcW w:w="2713" w:type="dxa"/>
          </w:tcPr>
          <w:p w:rsidR="00A25547" w:rsidRDefault="00A25547" w:rsidP="009C5AF7">
            <w:pPr>
              <w:rPr>
                <w:rFonts w:ascii="Verdana" w:hAnsi="Verdana"/>
                <w:lang w:val="el-GR"/>
              </w:rPr>
            </w:pPr>
            <w:r>
              <w:rPr>
                <w:rFonts w:ascii="Verdana" w:hAnsi="Verdana"/>
                <w:lang w:val="el-GR"/>
              </w:rPr>
              <w:t>Κανονισμός 5</w:t>
            </w:r>
          </w:p>
        </w:tc>
        <w:tc>
          <w:tcPr>
            <w:tcW w:w="11165" w:type="dxa"/>
          </w:tcPr>
          <w:p w:rsidR="00A25547" w:rsidRDefault="00A25547" w:rsidP="009C5AF7">
            <w:pPr>
              <w:jc w:val="both"/>
              <w:rPr>
                <w:rFonts w:ascii="Verdana" w:hAnsi="Verdana"/>
                <w:lang w:val="el-GR"/>
              </w:rPr>
            </w:pPr>
            <w:r>
              <w:rPr>
                <w:rFonts w:ascii="Verdana" w:hAnsi="Verdana"/>
                <w:lang w:val="el-GR"/>
              </w:rPr>
              <w:t>(α) Πρόνοια για ενοποίηση των εντύπων ΜΕ2 και ΜΕ3.</w:t>
            </w:r>
          </w:p>
          <w:p w:rsidR="00A25547" w:rsidRDefault="00A25547" w:rsidP="009C5AF7">
            <w:pPr>
              <w:jc w:val="both"/>
              <w:rPr>
                <w:rFonts w:ascii="Verdana" w:hAnsi="Verdana"/>
                <w:lang w:val="el-GR"/>
              </w:rPr>
            </w:pPr>
            <w:r>
              <w:rPr>
                <w:rFonts w:ascii="Verdana" w:hAnsi="Verdana"/>
                <w:lang w:val="el-GR"/>
              </w:rPr>
              <w:t>(β) Απλοποίηση συμπλήρωσης εντύπου λόγω ανασχεδιασμού.</w:t>
            </w:r>
          </w:p>
        </w:tc>
      </w:tr>
      <w:tr w:rsidR="00A25547" w:rsidRPr="00FE3152" w:rsidTr="00F42364">
        <w:trPr>
          <w:trHeight w:val="842"/>
        </w:trPr>
        <w:tc>
          <w:tcPr>
            <w:tcW w:w="2713" w:type="dxa"/>
          </w:tcPr>
          <w:p w:rsidR="00A25547" w:rsidRDefault="00A25547" w:rsidP="009C5AF7">
            <w:pPr>
              <w:rPr>
                <w:rFonts w:ascii="Verdana" w:hAnsi="Verdana"/>
                <w:lang w:val="el-GR"/>
              </w:rPr>
            </w:pPr>
            <w:r w:rsidRPr="00EA625B">
              <w:rPr>
                <w:rFonts w:ascii="Verdana" w:hAnsi="Verdana"/>
                <w:lang w:val="el-GR"/>
              </w:rPr>
              <w:t>Κανονισμός</w:t>
            </w:r>
            <w:r>
              <w:rPr>
                <w:rFonts w:ascii="Verdana" w:hAnsi="Verdana"/>
                <w:lang w:val="el-GR"/>
              </w:rPr>
              <w:t xml:space="preserve"> 6</w:t>
            </w:r>
          </w:p>
        </w:tc>
        <w:tc>
          <w:tcPr>
            <w:tcW w:w="11165" w:type="dxa"/>
          </w:tcPr>
          <w:p w:rsidR="00A25547" w:rsidRDefault="00A25547" w:rsidP="00B2316B">
            <w:pPr>
              <w:jc w:val="both"/>
              <w:rPr>
                <w:rFonts w:ascii="Verdana" w:hAnsi="Verdana"/>
                <w:lang w:val="el-GR"/>
              </w:rPr>
            </w:pPr>
            <w:r>
              <w:rPr>
                <w:rFonts w:ascii="Verdana" w:hAnsi="Verdana"/>
                <w:lang w:val="el-GR"/>
              </w:rPr>
              <w:t xml:space="preserve">Πρόνοια για έκδοση </w:t>
            </w:r>
            <w:r w:rsidRPr="005A4A37">
              <w:rPr>
                <w:rFonts w:ascii="Verdana" w:hAnsi="Verdana"/>
                <w:lang w:val="el-GR"/>
              </w:rPr>
              <w:t>επεξηγηματικ</w:t>
            </w:r>
            <w:r>
              <w:rPr>
                <w:rFonts w:ascii="Verdana" w:hAnsi="Verdana"/>
                <w:lang w:val="el-GR"/>
              </w:rPr>
              <w:t>ών</w:t>
            </w:r>
            <w:r w:rsidRPr="005A4A37">
              <w:rPr>
                <w:rFonts w:ascii="Verdana" w:hAnsi="Verdana"/>
                <w:lang w:val="el-GR"/>
              </w:rPr>
              <w:t xml:space="preserve"> σημειώσε</w:t>
            </w:r>
            <w:r>
              <w:rPr>
                <w:rFonts w:ascii="Verdana" w:hAnsi="Verdana"/>
                <w:lang w:val="el-GR"/>
              </w:rPr>
              <w:t>ων</w:t>
            </w:r>
            <w:r w:rsidRPr="005A4A37">
              <w:rPr>
                <w:rFonts w:ascii="Verdana" w:hAnsi="Verdana"/>
                <w:lang w:val="el-GR"/>
              </w:rPr>
              <w:t>, οδηγ</w:t>
            </w:r>
            <w:r>
              <w:rPr>
                <w:rFonts w:ascii="Verdana" w:hAnsi="Verdana"/>
                <w:lang w:val="el-GR"/>
              </w:rPr>
              <w:t>ιών</w:t>
            </w:r>
            <w:r w:rsidRPr="005A4A37">
              <w:rPr>
                <w:rFonts w:ascii="Verdana" w:hAnsi="Verdana"/>
                <w:lang w:val="el-GR"/>
              </w:rPr>
              <w:t xml:space="preserve"> και άλλ</w:t>
            </w:r>
            <w:r>
              <w:rPr>
                <w:rFonts w:ascii="Verdana" w:hAnsi="Verdana"/>
                <w:lang w:val="el-GR"/>
              </w:rPr>
              <w:t>ων στοιχείων</w:t>
            </w:r>
            <w:r w:rsidRPr="005A4A37">
              <w:rPr>
                <w:rFonts w:ascii="Verdana" w:hAnsi="Verdana"/>
                <w:lang w:val="el-GR"/>
              </w:rPr>
              <w:t xml:space="preserve"> αναφορικά με τη συμπλήρωση και καταχώριση των εντύπων</w:t>
            </w:r>
            <w:r>
              <w:rPr>
                <w:rFonts w:ascii="Verdana" w:hAnsi="Verdana"/>
                <w:lang w:val="el-GR"/>
              </w:rPr>
              <w:t>, από τον Έφορο Εταιρειών.</w:t>
            </w:r>
          </w:p>
        </w:tc>
      </w:tr>
      <w:tr w:rsidR="00A25547" w:rsidRPr="00FE3152" w:rsidTr="00F42364">
        <w:trPr>
          <w:trHeight w:val="572"/>
        </w:trPr>
        <w:tc>
          <w:tcPr>
            <w:tcW w:w="2713" w:type="dxa"/>
          </w:tcPr>
          <w:p w:rsidR="00A25547" w:rsidRDefault="00A25547" w:rsidP="009C5AF7">
            <w:pPr>
              <w:rPr>
                <w:rFonts w:ascii="Verdana" w:hAnsi="Verdana"/>
                <w:lang w:val="el-GR"/>
              </w:rPr>
            </w:pPr>
            <w:r w:rsidRPr="00EA625B">
              <w:rPr>
                <w:rFonts w:ascii="Verdana" w:hAnsi="Verdana"/>
                <w:lang w:val="el-GR"/>
              </w:rPr>
              <w:t>Κανονισμός</w:t>
            </w:r>
            <w:r>
              <w:rPr>
                <w:rFonts w:ascii="Verdana" w:hAnsi="Verdana"/>
                <w:lang w:val="el-GR"/>
              </w:rPr>
              <w:t xml:space="preserve"> 7</w:t>
            </w:r>
          </w:p>
        </w:tc>
        <w:tc>
          <w:tcPr>
            <w:tcW w:w="11165" w:type="dxa"/>
          </w:tcPr>
          <w:p w:rsidR="00A25547" w:rsidRDefault="00A25547" w:rsidP="00B2316B">
            <w:pPr>
              <w:jc w:val="both"/>
              <w:rPr>
                <w:rFonts w:ascii="Verdana" w:hAnsi="Verdana"/>
                <w:lang w:val="el-GR"/>
              </w:rPr>
            </w:pPr>
            <w:r>
              <w:rPr>
                <w:rFonts w:ascii="Verdana" w:hAnsi="Verdana"/>
                <w:lang w:val="el-GR"/>
              </w:rPr>
              <w:t xml:space="preserve"> Α</w:t>
            </w:r>
            <w:r w:rsidRPr="006067E9">
              <w:rPr>
                <w:rFonts w:ascii="Verdana" w:hAnsi="Verdana"/>
                <w:lang w:val="el-GR"/>
              </w:rPr>
              <w:t>ντικατάσταση</w:t>
            </w:r>
            <w:r>
              <w:rPr>
                <w:rFonts w:ascii="Verdana" w:hAnsi="Verdana"/>
                <w:lang w:val="el-GR"/>
              </w:rPr>
              <w:t xml:space="preserve"> Παραρτήματος που περιλαμβάνει τα έντυπα</w:t>
            </w:r>
            <w:r w:rsidRPr="00B2316B">
              <w:rPr>
                <w:rFonts w:ascii="Verdana" w:hAnsi="Verdana"/>
                <w:lang w:val="el-GR"/>
              </w:rPr>
              <w:t xml:space="preserve"> </w:t>
            </w:r>
            <w:r>
              <w:rPr>
                <w:rFonts w:ascii="Verdana" w:hAnsi="Verdana"/>
                <w:lang w:val="el-GR"/>
              </w:rPr>
              <w:t>μεταφοράς έδρας.</w:t>
            </w:r>
          </w:p>
        </w:tc>
      </w:tr>
      <w:tr w:rsidR="00A25547" w:rsidRPr="006E06F9" w:rsidTr="00F42364">
        <w:trPr>
          <w:trHeight w:val="286"/>
        </w:trPr>
        <w:tc>
          <w:tcPr>
            <w:tcW w:w="2713" w:type="dxa"/>
          </w:tcPr>
          <w:p w:rsidR="00A25547" w:rsidRDefault="00A25547" w:rsidP="009C5AF7">
            <w:pPr>
              <w:rPr>
                <w:rFonts w:ascii="Verdana" w:hAnsi="Verdana"/>
                <w:lang w:val="el-GR"/>
              </w:rPr>
            </w:pPr>
            <w:r w:rsidRPr="00EA625B">
              <w:rPr>
                <w:rFonts w:ascii="Verdana" w:hAnsi="Verdana"/>
                <w:lang w:val="el-GR"/>
              </w:rPr>
              <w:t>Κανονισμός</w:t>
            </w:r>
            <w:r>
              <w:rPr>
                <w:rFonts w:ascii="Verdana" w:hAnsi="Verdana"/>
                <w:lang w:val="el-GR"/>
              </w:rPr>
              <w:t xml:space="preserve"> 8</w:t>
            </w:r>
          </w:p>
        </w:tc>
        <w:tc>
          <w:tcPr>
            <w:tcW w:w="11165" w:type="dxa"/>
          </w:tcPr>
          <w:p w:rsidR="00A25547" w:rsidRDefault="00A25547" w:rsidP="00576E1C">
            <w:pPr>
              <w:jc w:val="both"/>
              <w:rPr>
                <w:rFonts w:ascii="Verdana" w:hAnsi="Verdana"/>
                <w:lang w:val="el-GR"/>
              </w:rPr>
            </w:pPr>
            <w:r>
              <w:rPr>
                <w:rFonts w:ascii="Verdana" w:hAnsi="Verdana"/>
                <w:lang w:val="el-GR"/>
              </w:rPr>
              <w:t xml:space="preserve">Έναρξη ισχύος.  </w:t>
            </w:r>
          </w:p>
        </w:tc>
      </w:tr>
    </w:tbl>
    <w:p w:rsidR="00F427AD" w:rsidRPr="00ED53C1" w:rsidRDefault="00F427AD" w:rsidP="00F427AD">
      <w:pPr>
        <w:spacing w:after="0" w:line="240" w:lineRule="auto"/>
        <w:rPr>
          <w:rFonts w:ascii="Verdana" w:hAnsi="Verdana"/>
          <w:lang w:val="el-GR"/>
        </w:rPr>
      </w:pPr>
    </w:p>
    <w:p w:rsidR="00F427AD" w:rsidRPr="00ED53C1" w:rsidRDefault="00F427AD" w:rsidP="00F427AD">
      <w:pPr>
        <w:spacing w:after="0" w:line="240" w:lineRule="auto"/>
        <w:rPr>
          <w:rFonts w:ascii="Verdana" w:hAnsi="Verdana"/>
          <w:lang w:val="el-GR"/>
        </w:rPr>
      </w:pPr>
    </w:p>
    <w:p w:rsidR="00F427AD" w:rsidRPr="00ED53C1" w:rsidRDefault="00F427AD" w:rsidP="00374371">
      <w:pPr>
        <w:spacing w:after="0" w:line="240" w:lineRule="auto"/>
        <w:rPr>
          <w:rFonts w:ascii="Verdana" w:hAnsi="Verdana"/>
          <w:lang w:val="el-GR"/>
        </w:rPr>
      </w:pPr>
    </w:p>
    <w:sectPr w:rsidR="00F427AD" w:rsidRPr="00ED53C1" w:rsidSect="005B6E5E">
      <w:headerReference w:type="default" r:id="rId7"/>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4CE" w:rsidRDefault="00B634CE" w:rsidP="0082729D">
      <w:pPr>
        <w:spacing w:after="0" w:line="240" w:lineRule="auto"/>
      </w:pPr>
      <w:r>
        <w:separator/>
      </w:r>
    </w:p>
  </w:endnote>
  <w:endnote w:type="continuationSeparator" w:id="0">
    <w:p w:rsidR="00B634CE" w:rsidRDefault="00B634CE" w:rsidP="00827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altName w:val="Calibri"/>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4CE" w:rsidRDefault="00B634CE" w:rsidP="0082729D">
      <w:pPr>
        <w:spacing w:after="0" w:line="240" w:lineRule="auto"/>
      </w:pPr>
      <w:r>
        <w:separator/>
      </w:r>
    </w:p>
  </w:footnote>
  <w:footnote w:type="continuationSeparator" w:id="0">
    <w:p w:rsidR="00B634CE" w:rsidRDefault="00B634CE" w:rsidP="00827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8B" w:rsidRPr="0082729D" w:rsidRDefault="007614E6">
    <w:pPr>
      <w:pStyle w:val="Header"/>
      <w:ind w:right="-576"/>
      <w:jc w:val="right"/>
      <w:rPr>
        <w:rFonts w:asciiTheme="majorHAnsi" w:eastAsiaTheme="majorEastAsia" w:hAnsiTheme="majorHAnsi" w:cstheme="majorBidi"/>
        <w:b/>
        <w:sz w:val="32"/>
        <w:szCs w:val="32"/>
      </w:rPr>
    </w:pPr>
    <w:r w:rsidRPr="007614E6">
      <w:rPr>
        <w:rFonts w:asciiTheme="majorHAnsi" w:eastAsiaTheme="majorEastAsia" w:hAnsiTheme="majorHAnsi" w:cstheme="majorBidi"/>
        <w:noProof/>
        <w:sz w:val="28"/>
        <w:szCs w:val="28"/>
        <w:lang w:val="el-GR" w:eastAsia="el-GR"/>
      </w:rPr>
      <w:pict>
        <v:shapetype id="_x0000_t202" coordsize="21600,21600" o:spt="202" path="m,l,21600r21600,l21600,xe">
          <v:stroke joinstyle="miter"/>
          <v:path gradientshapeok="t" o:connecttype="rect"/>
        </v:shapetype>
        <v:shape id="Text Box 464" o:spid="_x0000_s2049" type="#_x0000_t202" style="position:absolute;left:0;text-align:left;margin-left:0;margin-top:0;width:36pt;height:36pt;z-index:251659264;visibility:visible;mso-position-horizontal:left;mso-position-horizontal-relative:right-margin-area;mso-position-vertical:top;mso-position-vertical-relative:margin;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" o:allowincell="f" stroked="f">
          <v:shadow type="perspective" opacity=".5" origin=".5,.5" offset="4pt,5pt" matrix="1.25,,,1.25"/>
          <v:textbox inset="0,0,0,0">
            <w:txbxContent>
              <w:p w:rsidR="0041568B" w:rsidRDefault="007614E6">
                <w:pPr>
                  <w:pStyle w:val="NoSpacing"/>
                  <w:pBdr>
                    <w:top w:val="single" w:sz="24" w:space="8" w:color="A5A5A5" w:themeColor="accent3"/>
                    <w:bottom w:val="single" w:sz="24" w:space="8" w:color="A5A5A5" w:themeColor="accent3"/>
                  </w:pBdr>
                  <w:jc w:val="center"/>
                  <w:rPr>
                    <w:rFonts w:asciiTheme="majorHAnsi" w:eastAsiaTheme="majorEastAsia" w:hAnsiTheme="majorHAnsi" w:cstheme="majorBidi"/>
                    <w:sz w:val="28"/>
                    <w:szCs w:val="28"/>
                  </w:rPr>
                </w:pPr>
                <w:r w:rsidRPr="007614E6">
                  <w:fldChar w:fldCharType="begin"/>
                </w:r>
                <w:r w:rsidR="0041568B">
                  <w:instrText xml:space="preserve"> PAGE   \* MERGEFORMAT </w:instrText>
                </w:r>
                <w:r w:rsidRPr="007614E6">
                  <w:fldChar w:fldCharType="separate"/>
                </w:r>
                <w:r w:rsidR="00FB36BA" w:rsidRPr="00FB36BA">
                  <w:rPr>
                    <w:rFonts w:asciiTheme="majorHAnsi" w:eastAsiaTheme="majorEastAsia" w:hAnsiTheme="majorHAnsi" w:cstheme="majorBidi"/>
                    <w:noProof/>
                    <w:sz w:val="28"/>
                    <w:szCs w:val="28"/>
                  </w:rPr>
                  <w:t>11</w:t>
                </w:r>
                <w:r>
                  <w:rPr>
                    <w:rFonts w:asciiTheme="majorHAnsi" w:eastAsiaTheme="majorEastAsia" w:hAnsiTheme="majorHAnsi" w:cstheme="majorBidi"/>
                    <w:noProof/>
                    <w:sz w:val="28"/>
                    <w:szCs w:val="28"/>
                  </w:rPr>
                  <w:fldChar w:fldCharType="end"/>
                </w:r>
              </w:p>
            </w:txbxContent>
          </v:textbox>
          <w10:wrap anchorx="margin" anchory="margin"/>
        </v:shape>
      </w:pict>
    </w:r>
    <w:sdt>
      <w:sdtPr>
        <w:rPr>
          <w:rFonts w:asciiTheme="majorHAnsi" w:eastAsiaTheme="majorEastAsia" w:hAnsiTheme="majorHAnsi" w:cstheme="majorBidi"/>
          <w:b/>
          <w:sz w:val="32"/>
          <w:szCs w:val="32"/>
        </w:rPr>
        <w:alias w:val="Title"/>
        <w:id w:val="270721805"/>
        <w:placeholder>
          <w:docPart w:val="76967FFD48C64DCB92D0E062611EC372"/>
        </w:placeholder>
        <w:dataBinding w:prefixMappings="xmlns:ns0='http://schemas.openxmlformats.org/package/2006/metadata/core-properties' xmlns:ns1='http://purl.org/dc/elements/1.1/'" w:xpath="/ns0:coreProperties[1]/ns1:title[1]" w:storeItemID="{6C3C8BC8-F283-45AE-878A-BAB7291924A1}"/>
        <w:text/>
      </w:sdtPr>
      <w:sdtContent>
        <w:r w:rsidR="0041568B" w:rsidRPr="0082729D">
          <w:rPr>
            <w:rFonts w:asciiTheme="majorHAnsi" w:eastAsiaTheme="majorEastAsia" w:hAnsiTheme="majorHAnsi" w:cstheme="majorBidi"/>
            <w:b/>
            <w:sz w:val="32"/>
            <w:szCs w:val="32"/>
            <w:lang w:val="el-GR"/>
          </w:rPr>
          <w:t>Παράρτημα Ι</w:t>
        </w:r>
        <w:r w:rsidR="008C596F">
          <w:rPr>
            <w:rFonts w:asciiTheme="majorHAnsi" w:eastAsiaTheme="majorEastAsia" w:hAnsiTheme="majorHAnsi" w:cstheme="majorBidi"/>
            <w:b/>
            <w:sz w:val="32"/>
            <w:szCs w:val="32"/>
            <w:lang w:val="el-GR"/>
          </w:rPr>
          <w:t>Ι</w:t>
        </w:r>
        <w:r w:rsidR="0041568B" w:rsidRPr="0082729D">
          <w:rPr>
            <w:rFonts w:asciiTheme="majorHAnsi" w:eastAsiaTheme="majorEastAsia" w:hAnsiTheme="majorHAnsi" w:cstheme="majorBidi"/>
            <w:b/>
            <w:sz w:val="32"/>
            <w:szCs w:val="32"/>
            <w:lang w:val="el-GR"/>
          </w:rPr>
          <w:t>Ι</w:t>
        </w:r>
      </w:sdtContent>
    </w:sdt>
  </w:p>
  <w:p w:rsidR="0041568B" w:rsidRDefault="0041568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orgiou, Michalis (CY - Nicosia)">
    <w15:presenceInfo w15:providerId="AD" w15:userId="S-1-5-21-2094927150-201071529-617630493-98143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5B6E5E"/>
    <w:rsid w:val="0001548C"/>
    <w:rsid w:val="00027452"/>
    <w:rsid w:val="00030E7A"/>
    <w:rsid w:val="00034B5A"/>
    <w:rsid w:val="000351AD"/>
    <w:rsid w:val="000422CB"/>
    <w:rsid w:val="00044384"/>
    <w:rsid w:val="00047544"/>
    <w:rsid w:val="0005130D"/>
    <w:rsid w:val="0005135E"/>
    <w:rsid w:val="00054FB5"/>
    <w:rsid w:val="000574FB"/>
    <w:rsid w:val="00075A17"/>
    <w:rsid w:val="000770B2"/>
    <w:rsid w:val="000800C8"/>
    <w:rsid w:val="000802E3"/>
    <w:rsid w:val="00087CFF"/>
    <w:rsid w:val="0009276A"/>
    <w:rsid w:val="00097C47"/>
    <w:rsid w:val="000A068A"/>
    <w:rsid w:val="000A3143"/>
    <w:rsid w:val="000B07BF"/>
    <w:rsid w:val="000B2AA4"/>
    <w:rsid w:val="000B49D7"/>
    <w:rsid w:val="000D2C0B"/>
    <w:rsid w:val="001105EE"/>
    <w:rsid w:val="00110F15"/>
    <w:rsid w:val="00111304"/>
    <w:rsid w:val="00112141"/>
    <w:rsid w:val="0013799E"/>
    <w:rsid w:val="00144942"/>
    <w:rsid w:val="00190231"/>
    <w:rsid w:val="00193BC7"/>
    <w:rsid w:val="001B2389"/>
    <w:rsid w:val="001B242C"/>
    <w:rsid w:val="001B2CE6"/>
    <w:rsid w:val="001C34B9"/>
    <w:rsid w:val="001C77F6"/>
    <w:rsid w:val="001E6157"/>
    <w:rsid w:val="001F3302"/>
    <w:rsid w:val="001F50AF"/>
    <w:rsid w:val="00207A12"/>
    <w:rsid w:val="0023209F"/>
    <w:rsid w:val="00233224"/>
    <w:rsid w:val="00245050"/>
    <w:rsid w:val="0025370D"/>
    <w:rsid w:val="002610B2"/>
    <w:rsid w:val="002849C7"/>
    <w:rsid w:val="00293C9A"/>
    <w:rsid w:val="002955EA"/>
    <w:rsid w:val="00296A53"/>
    <w:rsid w:val="002A1FBC"/>
    <w:rsid w:val="002A52E4"/>
    <w:rsid w:val="002B26E5"/>
    <w:rsid w:val="002B596E"/>
    <w:rsid w:val="002B7CA8"/>
    <w:rsid w:val="002C517B"/>
    <w:rsid w:val="002C66B1"/>
    <w:rsid w:val="002C7C28"/>
    <w:rsid w:val="002E62BC"/>
    <w:rsid w:val="00305EF6"/>
    <w:rsid w:val="00321F82"/>
    <w:rsid w:val="003450FB"/>
    <w:rsid w:val="00347950"/>
    <w:rsid w:val="00351789"/>
    <w:rsid w:val="003628D1"/>
    <w:rsid w:val="00374371"/>
    <w:rsid w:val="00375C19"/>
    <w:rsid w:val="00386230"/>
    <w:rsid w:val="00394352"/>
    <w:rsid w:val="003C3B50"/>
    <w:rsid w:val="003D4C0A"/>
    <w:rsid w:val="003D666B"/>
    <w:rsid w:val="003E29A9"/>
    <w:rsid w:val="003F0589"/>
    <w:rsid w:val="003F2BF6"/>
    <w:rsid w:val="00401152"/>
    <w:rsid w:val="00401680"/>
    <w:rsid w:val="00404C51"/>
    <w:rsid w:val="00405EDB"/>
    <w:rsid w:val="0041340F"/>
    <w:rsid w:val="0041568B"/>
    <w:rsid w:val="00415DC8"/>
    <w:rsid w:val="004224BD"/>
    <w:rsid w:val="00436510"/>
    <w:rsid w:val="004433A2"/>
    <w:rsid w:val="00453184"/>
    <w:rsid w:val="0046083F"/>
    <w:rsid w:val="00470A11"/>
    <w:rsid w:val="004800FA"/>
    <w:rsid w:val="00486308"/>
    <w:rsid w:val="00493638"/>
    <w:rsid w:val="004A7AC9"/>
    <w:rsid w:val="004B3275"/>
    <w:rsid w:val="004B7363"/>
    <w:rsid w:val="004C36D6"/>
    <w:rsid w:val="004C702A"/>
    <w:rsid w:val="004D5A13"/>
    <w:rsid w:val="004E170F"/>
    <w:rsid w:val="004F36E5"/>
    <w:rsid w:val="004F7E60"/>
    <w:rsid w:val="0050438F"/>
    <w:rsid w:val="0051214E"/>
    <w:rsid w:val="00545BAE"/>
    <w:rsid w:val="00567960"/>
    <w:rsid w:val="005727AE"/>
    <w:rsid w:val="00576E1C"/>
    <w:rsid w:val="00577E71"/>
    <w:rsid w:val="005800E1"/>
    <w:rsid w:val="005A4A37"/>
    <w:rsid w:val="005A5192"/>
    <w:rsid w:val="005A531A"/>
    <w:rsid w:val="005A6C52"/>
    <w:rsid w:val="005B4C35"/>
    <w:rsid w:val="005B6E5E"/>
    <w:rsid w:val="005C3F7A"/>
    <w:rsid w:val="005C7D05"/>
    <w:rsid w:val="006067E9"/>
    <w:rsid w:val="006131B1"/>
    <w:rsid w:val="00626787"/>
    <w:rsid w:val="00630699"/>
    <w:rsid w:val="00632EF5"/>
    <w:rsid w:val="006548D4"/>
    <w:rsid w:val="00662BE0"/>
    <w:rsid w:val="006631A1"/>
    <w:rsid w:val="0067526C"/>
    <w:rsid w:val="00692DE9"/>
    <w:rsid w:val="006A5B53"/>
    <w:rsid w:val="006B5493"/>
    <w:rsid w:val="006B6EB0"/>
    <w:rsid w:val="006C4288"/>
    <w:rsid w:val="006D5FED"/>
    <w:rsid w:val="006E06F9"/>
    <w:rsid w:val="00705D4E"/>
    <w:rsid w:val="0071551E"/>
    <w:rsid w:val="00721808"/>
    <w:rsid w:val="00730798"/>
    <w:rsid w:val="007409C3"/>
    <w:rsid w:val="00745187"/>
    <w:rsid w:val="00746EF3"/>
    <w:rsid w:val="00755C26"/>
    <w:rsid w:val="00756561"/>
    <w:rsid w:val="00756A36"/>
    <w:rsid w:val="007614E6"/>
    <w:rsid w:val="007678C6"/>
    <w:rsid w:val="007742CB"/>
    <w:rsid w:val="007A0737"/>
    <w:rsid w:val="007B023D"/>
    <w:rsid w:val="007B2DD8"/>
    <w:rsid w:val="007B30DA"/>
    <w:rsid w:val="007B3BEE"/>
    <w:rsid w:val="007C09FB"/>
    <w:rsid w:val="007E6B0C"/>
    <w:rsid w:val="007F10A3"/>
    <w:rsid w:val="007F3ED5"/>
    <w:rsid w:val="007F50A4"/>
    <w:rsid w:val="00804283"/>
    <w:rsid w:val="008261DB"/>
    <w:rsid w:val="0082729D"/>
    <w:rsid w:val="00844119"/>
    <w:rsid w:val="00847CBC"/>
    <w:rsid w:val="00856881"/>
    <w:rsid w:val="00856F69"/>
    <w:rsid w:val="008574A1"/>
    <w:rsid w:val="00860E6F"/>
    <w:rsid w:val="008619EB"/>
    <w:rsid w:val="008644A0"/>
    <w:rsid w:val="008860EB"/>
    <w:rsid w:val="0089302D"/>
    <w:rsid w:val="0089743D"/>
    <w:rsid w:val="008A33E2"/>
    <w:rsid w:val="008A38B5"/>
    <w:rsid w:val="008A59E5"/>
    <w:rsid w:val="008B1203"/>
    <w:rsid w:val="008B62DD"/>
    <w:rsid w:val="008C0E30"/>
    <w:rsid w:val="008C286F"/>
    <w:rsid w:val="008C2E69"/>
    <w:rsid w:val="008C596F"/>
    <w:rsid w:val="008C79C5"/>
    <w:rsid w:val="008E475B"/>
    <w:rsid w:val="008E4A45"/>
    <w:rsid w:val="008F4368"/>
    <w:rsid w:val="00910F12"/>
    <w:rsid w:val="00914AFB"/>
    <w:rsid w:val="009177A1"/>
    <w:rsid w:val="00925C01"/>
    <w:rsid w:val="00927821"/>
    <w:rsid w:val="0094340E"/>
    <w:rsid w:val="00944745"/>
    <w:rsid w:val="00950F57"/>
    <w:rsid w:val="0095187A"/>
    <w:rsid w:val="00955651"/>
    <w:rsid w:val="00966155"/>
    <w:rsid w:val="00967735"/>
    <w:rsid w:val="009838DA"/>
    <w:rsid w:val="009A0966"/>
    <w:rsid w:val="009B0466"/>
    <w:rsid w:val="009B3E33"/>
    <w:rsid w:val="009B7FE8"/>
    <w:rsid w:val="009C117C"/>
    <w:rsid w:val="009C2B79"/>
    <w:rsid w:val="009C4EEE"/>
    <w:rsid w:val="009C5AF7"/>
    <w:rsid w:val="009D0DF7"/>
    <w:rsid w:val="009F38AA"/>
    <w:rsid w:val="00A06A11"/>
    <w:rsid w:val="00A25547"/>
    <w:rsid w:val="00A26C7E"/>
    <w:rsid w:val="00A36BC6"/>
    <w:rsid w:val="00A41611"/>
    <w:rsid w:val="00A67247"/>
    <w:rsid w:val="00A752AF"/>
    <w:rsid w:val="00A92146"/>
    <w:rsid w:val="00A959CA"/>
    <w:rsid w:val="00AA4733"/>
    <w:rsid w:val="00AB04C3"/>
    <w:rsid w:val="00AB0A63"/>
    <w:rsid w:val="00AD1DB2"/>
    <w:rsid w:val="00AE04F0"/>
    <w:rsid w:val="00AF1B2E"/>
    <w:rsid w:val="00AF4CBF"/>
    <w:rsid w:val="00AF5818"/>
    <w:rsid w:val="00B06D58"/>
    <w:rsid w:val="00B06F68"/>
    <w:rsid w:val="00B1068E"/>
    <w:rsid w:val="00B2316B"/>
    <w:rsid w:val="00B317E9"/>
    <w:rsid w:val="00B3299B"/>
    <w:rsid w:val="00B42C47"/>
    <w:rsid w:val="00B50F8D"/>
    <w:rsid w:val="00B516FD"/>
    <w:rsid w:val="00B634CE"/>
    <w:rsid w:val="00B65E4A"/>
    <w:rsid w:val="00B716A2"/>
    <w:rsid w:val="00B84181"/>
    <w:rsid w:val="00B912E3"/>
    <w:rsid w:val="00BA4011"/>
    <w:rsid w:val="00BB3E96"/>
    <w:rsid w:val="00BC5379"/>
    <w:rsid w:val="00BD1F5C"/>
    <w:rsid w:val="00BD6B4A"/>
    <w:rsid w:val="00BD7584"/>
    <w:rsid w:val="00BE4562"/>
    <w:rsid w:val="00BE6FAC"/>
    <w:rsid w:val="00BF5FE8"/>
    <w:rsid w:val="00C023C3"/>
    <w:rsid w:val="00C10535"/>
    <w:rsid w:val="00C155F0"/>
    <w:rsid w:val="00C27929"/>
    <w:rsid w:val="00C31B52"/>
    <w:rsid w:val="00C8075F"/>
    <w:rsid w:val="00C90B86"/>
    <w:rsid w:val="00C9385E"/>
    <w:rsid w:val="00CA1892"/>
    <w:rsid w:val="00CB28C3"/>
    <w:rsid w:val="00CB43D7"/>
    <w:rsid w:val="00CB614C"/>
    <w:rsid w:val="00CC57B2"/>
    <w:rsid w:val="00CD4029"/>
    <w:rsid w:val="00CE60F7"/>
    <w:rsid w:val="00CE7F76"/>
    <w:rsid w:val="00CF2FFD"/>
    <w:rsid w:val="00D15BF8"/>
    <w:rsid w:val="00D15CB1"/>
    <w:rsid w:val="00D20719"/>
    <w:rsid w:val="00D2383D"/>
    <w:rsid w:val="00D24270"/>
    <w:rsid w:val="00D2463A"/>
    <w:rsid w:val="00D30D63"/>
    <w:rsid w:val="00D44961"/>
    <w:rsid w:val="00D56FF3"/>
    <w:rsid w:val="00D61B92"/>
    <w:rsid w:val="00D700B7"/>
    <w:rsid w:val="00D71B5D"/>
    <w:rsid w:val="00D8158E"/>
    <w:rsid w:val="00DA184D"/>
    <w:rsid w:val="00DA3F53"/>
    <w:rsid w:val="00DA5CBD"/>
    <w:rsid w:val="00DB4542"/>
    <w:rsid w:val="00DB4B1B"/>
    <w:rsid w:val="00DC3613"/>
    <w:rsid w:val="00DD01AD"/>
    <w:rsid w:val="00DD02DA"/>
    <w:rsid w:val="00DD1501"/>
    <w:rsid w:val="00DE761A"/>
    <w:rsid w:val="00E009DB"/>
    <w:rsid w:val="00E028D3"/>
    <w:rsid w:val="00E27513"/>
    <w:rsid w:val="00E31A93"/>
    <w:rsid w:val="00E44751"/>
    <w:rsid w:val="00E5280A"/>
    <w:rsid w:val="00E63BF6"/>
    <w:rsid w:val="00E74174"/>
    <w:rsid w:val="00E7658E"/>
    <w:rsid w:val="00E779B0"/>
    <w:rsid w:val="00E90F0A"/>
    <w:rsid w:val="00E9103B"/>
    <w:rsid w:val="00E96B9D"/>
    <w:rsid w:val="00EA4C04"/>
    <w:rsid w:val="00EB7EE7"/>
    <w:rsid w:val="00EC15E0"/>
    <w:rsid w:val="00EC773C"/>
    <w:rsid w:val="00ED087B"/>
    <w:rsid w:val="00ED53C1"/>
    <w:rsid w:val="00EF3D86"/>
    <w:rsid w:val="00F10829"/>
    <w:rsid w:val="00F1134C"/>
    <w:rsid w:val="00F21037"/>
    <w:rsid w:val="00F42364"/>
    <w:rsid w:val="00F427AD"/>
    <w:rsid w:val="00F55A54"/>
    <w:rsid w:val="00F62EE4"/>
    <w:rsid w:val="00F652F1"/>
    <w:rsid w:val="00F8341D"/>
    <w:rsid w:val="00FA5641"/>
    <w:rsid w:val="00FB07AE"/>
    <w:rsid w:val="00FB36BA"/>
    <w:rsid w:val="00FD00E0"/>
    <w:rsid w:val="00FD7A20"/>
    <w:rsid w:val="00FE14F9"/>
    <w:rsid w:val="00FE3152"/>
    <w:rsid w:val="00FE31CF"/>
    <w:rsid w:val="00FE38AE"/>
    <w:rsid w:val="00FF6D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1AD"/>
  </w:style>
  <w:style w:type="paragraph" w:styleId="Heading2">
    <w:name w:val="heading 2"/>
    <w:basedOn w:val="Normal"/>
    <w:next w:val="Normal"/>
    <w:link w:val="Heading2Char"/>
    <w:uiPriority w:val="9"/>
    <w:semiHidden/>
    <w:unhideWhenUsed/>
    <w:qFormat/>
    <w:rsid w:val="00F108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9023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F1082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E3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AE"/>
    <w:rPr>
      <w:rFonts w:ascii="Tahoma" w:hAnsi="Tahoma" w:cs="Tahoma"/>
      <w:sz w:val="16"/>
      <w:szCs w:val="16"/>
    </w:rPr>
  </w:style>
  <w:style w:type="character" w:styleId="CommentReference">
    <w:name w:val="annotation reference"/>
    <w:basedOn w:val="DefaultParagraphFont"/>
    <w:uiPriority w:val="99"/>
    <w:semiHidden/>
    <w:unhideWhenUsed/>
    <w:rsid w:val="00FE38AE"/>
    <w:rPr>
      <w:sz w:val="16"/>
      <w:szCs w:val="16"/>
    </w:rPr>
  </w:style>
  <w:style w:type="paragraph" w:styleId="CommentText">
    <w:name w:val="annotation text"/>
    <w:basedOn w:val="Normal"/>
    <w:link w:val="CommentTextChar"/>
    <w:uiPriority w:val="99"/>
    <w:semiHidden/>
    <w:unhideWhenUsed/>
    <w:rsid w:val="00FE38AE"/>
    <w:pPr>
      <w:spacing w:line="240" w:lineRule="auto"/>
    </w:pPr>
    <w:rPr>
      <w:sz w:val="20"/>
      <w:szCs w:val="20"/>
    </w:rPr>
  </w:style>
  <w:style w:type="character" w:customStyle="1" w:styleId="CommentTextChar">
    <w:name w:val="Comment Text Char"/>
    <w:basedOn w:val="DefaultParagraphFont"/>
    <w:link w:val="CommentText"/>
    <w:uiPriority w:val="99"/>
    <w:semiHidden/>
    <w:rsid w:val="00FE38AE"/>
    <w:rPr>
      <w:sz w:val="20"/>
      <w:szCs w:val="20"/>
    </w:rPr>
  </w:style>
  <w:style w:type="paragraph" w:styleId="CommentSubject">
    <w:name w:val="annotation subject"/>
    <w:basedOn w:val="CommentText"/>
    <w:next w:val="CommentText"/>
    <w:link w:val="CommentSubjectChar"/>
    <w:uiPriority w:val="99"/>
    <w:semiHidden/>
    <w:unhideWhenUsed/>
    <w:rsid w:val="00FE38AE"/>
    <w:rPr>
      <w:b/>
      <w:bCs/>
    </w:rPr>
  </w:style>
  <w:style w:type="character" w:customStyle="1" w:styleId="CommentSubjectChar">
    <w:name w:val="Comment Subject Char"/>
    <w:basedOn w:val="CommentTextChar"/>
    <w:link w:val="CommentSubject"/>
    <w:uiPriority w:val="99"/>
    <w:semiHidden/>
    <w:rsid w:val="00FE38AE"/>
    <w:rPr>
      <w:b/>
      <w:bCs/>
      <w:sz w:val="20"/>
      <w:szCs w:val="20"/>
    </w:rPr>
  </w:style>
  <w:style w:type="paragraph" w:styleId="Header">
    <w:name w:val="header"/>
    <w:basedOn w:val="Normal"/>
    <w:link w:val="HeaderChar"/>
    <w:uiPriority w:val="99"/>
    <w:unhideWhenUsed/>
    <w:rsid w:val="008272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729D"/>
  </w:style>
  <w:style w:type="paragraph" w:styleId="Footer">
    <w:name w:val="footer"/>
    <w:basedOn w:val="Normal"/>
    <w:link w:val="FooterChar"/>
    <w:uiPriority w:val="99"/>
    <w:unhideWhenUsed/>
    <w:rsid w:val="008272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729D"/>
  </w:style>
  <w:style w:type="paragraph" w:styleId="NoSpacing">
    <w:name w:val="No Spacing"/>
    <w:link w:val="NoSpacingChar"/>
    <w:uiPriority w:val="1"/>
    <w:qFormat/>
    <w:rsid w:val="0082729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2729D"/>
    <w:rPr>
      <w:rFonts w:eastAsiaTheme="minorEastAsia"/>
      <w:lang w:eastAsia="ja-JP"/>
    </w:rPr>
  </w:style>
  <w:style w:type="character" w:customStyle="1" w:styleId="Heading3Char">
    <w:name w:val="Heading 3 Char"/>
    <w:basedOn w:val="DefaultParagraphFont"/>
    <w:link w:val="Heading3"/>
    <w:uiPriority w:val="9"/>
    <w:semiHidden/>
    <w:rsid w:val="00190231"/>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1AD"/>
  </w:style>
  <w:style w:type="paragraph" w:styleId="Heading2">
    <w:name w:val="heading 2"/>
    <w:basedOn w:val="Normal"/>
    <w:next w:val="Normal"/>
    <w:link w:val="Heading2Char"/>
    <w:uiPriority w:val="9"/>
    <w:semiHidden/>
    <w:unhideWhenUsed/>
    <w:qFormat/>
    <w:rsid w:val="00F108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9023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E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F1082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FE3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8AE"/>
    <w:rPr>
      <w:rFonts w:ascii="Tahoma" w:hAnsi="Tahoma" w:cs="Tahoma"/>
      <w:sz w:val="16"/>
      <w:szCs w:val="16"/>
    </w:rPr>
  </w:style>
  <w:style w:type="character" w:styleId="CommentReference">
    <w:name w:val="annotation reference"/>
    <w:basedOn w:val="DefaultParagraphFont"/>
    <w:uiPriority w:val="99"/>
    <w:semiHidden/>
    <w:unhideWhenUsed/>
    <w:rsid w:val="00FE38AE"/>
    <w:rPr>
      <w:sz w:val="16"/>
      <w:szCs w:val="16"/>
    </w:rPr>
  </w:style>
  <w:style w:type="paragraph" w:styleId="CommentText">
    <w:name w:val="annotation text"/>
    <w:basedOn w:val="Normal"/>
    <w:link w:val="CommentTextChar"/>
    <w:uiPriority w:val="99"/>
    <w:semiHidden/>
    <w:unhideWhenUsed/>
    <w:rsid w:val="00FE38AE"/>
    <w:pPr>
      <w:spacing w:line="240" w:lineRule="auto"/>
    </w:pPr>
    <w:rPr>
      <w:sz w:val="20"/>
      <w:szCs w:val="20"/>
    </w:rPr>
  </w:style>
  <w:style w:type="character" w:customStyle="1" w:styleId="CommentTextChar">
    <w:name w:val="Comment Text Char"/>
    <w:basedOn w:val="DefaultParagraphFont"/>
    <w:link w:val="CommentText"/>
    <w:uiPriority w:val="99"/>
    <w:semiHidden/>
    <w:rsid w:val="00FE38AE"/>
    <w:rPr>
      <w:sz w:val="20"/>
      <w:szCs w:val="20"/>
    </w:rPr>
  </w:style>
  <w:style w:type="paragraph" w:styleId="CommentSubject">
    <w:name w:val="annotation subject"/>
    <w:basedOn w:val="CommentText"/>
    <w:next w:val="CommentText"/>
    <w:link w:val="CommentSubjectChar"/>
    <w:uiPriority w:val="99"/>
    <w:semiHidden/>
    <w:unhideWhenUsed/>
    <w:rsid w:val="00FE38AE"/>
    <w:rPr>
      <w:b/>
      <w:bCs/>
    </w:rPr>
  </w:style>
  <w:style w:type="character" w:customStyle="1" w:styleId="CommentSubjectChar">
    <w:name w:val="Comment Subject Char"/>
    <w:basedOn w:val="CommentTextChar"/>
    <w:link w:val="CommentSubject"/>
    <w:uiPriority w:val="99"/>
    <w:semiHidden/>
    <w:rsid w:val="00FE38AE"/>
    <w:rPr>
      <w:b/>
      <w:bCs/>
      <w:sz w:val="20"/>
      <w:szCs w:val="20"/>
    </w:rPr>
  </w:style>
  <w:style w:type="paragraph" w:styleId="Header">
    <w:name w:val="header"/>
    <w:basedOn w:val="Normal"/>
    <w:link w:val="HeaderChar"/>
    <w:uiPriority w:val="99"/>
    <w:unhideWhenUsed/>
    <w:rsid w:val="008272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729D"/>
  </w:style>
  <w:style w:type="paragraph" w:styleId="Footer">
    <w:name w:val="footer"/>
    <w:basedOn w:val="Normal"/>
    <w:link w:val="FooterChar"/>
    <w:uiPriority w:val="99"/>
    <w:unhideWhenUsed/>
    <w:rsid w:val="008272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729D"/>
  </w:style>
  <w:style w:type="paragraph" w:styleId="NoSpacing">
    <w:name w:val="No Spacing"/>
    <w:link w:val="NoSpacingChar"/>
    <w:uiPriority w:val="1"/>
    <w:qFormat/>
    <w:rsid w:val="0082729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2729D"/>
    <w:rPr>
      <w:rFonts w:eastAsiaTheme="minorEastAsia"/>
      <w:lang w:eastAsia="ja-JP"/>
    </w:rPr>
  </w:style>
  <w:style w:type="character" w:customStyle="1" w:styleId="Heading3Char">
    <w:name w:val="Heading 3 Char"/>
    <w:basedOn w:val="DefaultParagraphFont"/>
    <w:link w:val="Heading3"/>
    <w:uiPriority w:val="9"/>
    <w:semiHidden/>
    <w:rsid w:val="00190231"/>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10571851">
      <w:bodyDiv w:val="1"/>
      <w:marLeft w:val="0"/>
      <w:marRight w:val="0"/>
      <w:marTop w:val="0"/>
      <w:marBottom w:val="0"/>
      <w:divBdr>
        <w:top w:val="none" w:sz="0" w:space="0" w:color="auto"/>
        <w:left w:val="none" w:sz="0" w:space="0" w:color="auto"/>
        <w:bottom w:val="none" w:sz="0" w:space="0" w:color="auto"/>
        <w:right w:val="none" w:sz="0" w:space="0" w:color="auto"/>
      </w:divBdr>
    </w:div>
    <w:div w:id="19360378">
      <w:bodyDiv w:val="1"/>
      <w:marLeft w:val="0"/>
      <w:marRight w:val="0"/>
      <w:marTop w:val="0"/>
      <w:marBottom w:val="0"/>
      <w:divBdr>
        <w:top w:val="none" w:sz="0" w:space="0" w:color="auto"/>
        <w:left w:val="none" w:sz="0" w:space="0" w:color="auto"/>
        <w:bottom w:val="none" w:sz="0" w:space="0" w:color="auto"/>
        <w:right w:val="none" w:sz="0" w:space="0" w:color="auto"/>
      </w:divBdr>
    </w:div>
    <w:div w:id="19474486">
      <w:bodyDiv w:val="1"/>
      <w:marLeft w:val="0"/>
      <w:marRight w:val="0"/>
      <w:marTop w:val="0"/>
      <w:marBottom w:val="0"/>
      <w:divBdr>
        <w:top w:val="none" w:sz="0" w:space="0" w:color="auto"/>
        <w:left w:val="none" w:sz="0" w:space="0" w:color="auto"/>
        <w:bottom w:val="none" w:sz="0" w:space="0" w:color="auto"/>
        <w:right w:val="none" w:sz="0" w:space="0" w:color="auto"/>
      </w:divBdr>
    </w:div>
    <w:div w:id="21633916">
      <w:bodyDiv w:val="1"/>
      <w:marLeft w:val="0"/>
      <w:marRight w:val="0"/>
      <w:marTop w:val="0"/>
      <w:marBottom w:val="0"/>
      <w:divBdr>
        <w:top w:val="none" w:sz="0" w:space="0" w:color="auto"/>
        <w:left w:val="none" w:sz="0" w:space="0" w:color="auto"/>
        <w:bottom w:val="none" w:sz="0" w:space="0" w:color="auto"/>
        <w:right w:val="none" w:sz="0" w:space="0" w:color="auto"/>
      </w:divBdr>
    </w:div>
    <w:div w:id="59866326">
      <w:bodyDiv w:val="1"/>
      <w:marLeft w:val="0"/>
      <w:marRight w:val="0"/>
      <w:marTop w:val="0"/>
      <w:marBottom w:val="0"/>
      <w:divBdr>
        <w:top w:val="none" w:sz="0" w:space="0" w:color="auto"/>
        <w:left w:val="none" w:sz="0" w:space="0" w:color="auto"/>
        <w:bottom w:val="none" w:sz="0" w:space="0" w:color="auto"/>
        <w:right w:val="none" w:sz="0" w:space="0" w:color="auto"/>
      </w:divBdr>
    </w:div>
    <w:div w:id="129517177">
      <w:bodyDiv w:val="1"/>
      <w:marLeft w:val="0"/>
      <w:marRight w:val="0"/>
      <w:marTop w:val="0"/>
      <w:marBottom w:val="0"/>
      <w:divBdr>
        <w:top w:val="none" w:sz="0" w:space="0" w:color="auto"/>
        <w:left w:val="none" w:sz="0" w:space="0" w:color="auto"/>
        <w:bottom w:val="none" w:sz="0" w:space="0" w:color="auto"/>
        <w:right w:val="none" w:sz="0" w:space="0" w:color="auto"/>
      </w:divBdr>
    </w:div>
    <w:div w:id="191191195">
      <w:bodyDiv w:val="1"/>
      <w:marLeft w:val="0"/>
      <w:marRight w:val="0"/>
      <w:marTop w:val="0"/>
      <w:marBottom w:val="0"/>
      <w:divBdr>
        <w:top w:val="none" w:sz="0" w:space="0" w:color="auto"/>
        <w:left w:val="none" w:sz="0" w:space="0" w:color="auto"/>
        <w:bottom w:val="none" w:sz="0" w:space="0" w:color="auto"/>
        <w:right w:val="none" w:sz="0" w:space="0" w:color="auto"/>
      </w:divBdr>
    </w:div>
    <w:div w:id="238835760">
      <w:bodyDiv w:val="1"/>
      <w:marLeft w:val="0"/>
      <w:marRight w:val="0"/>
      <w:marTop w:val="0"/>
      <w:marBottom w:val="0"/>
      <w:divBdr>
        <w:top w:val="none" w:sz="0" w:space="0" w:color="auto"/>
        <w:left w:val="none" w:sz="0" w:space="0" w:color="auto"/>
        <w:bottom w:val="none" w:sz="0" w:space="0" w:color="auto"/>
        <w:right w:val="none" w:sz="0" w:space="0" w:color="auto"/>
      </w:divBdr>
    </w:div>
    <w:div w:id="244917458">
      <w:bodyDiv w:val="1"/>
      <w:marLeft w:val="0"/>
      <w:marRight w:val="0"/>
      <w:marTop w:val="0"/>
      <w:marBottom w:val="0"/>
      <w:divBdr>
        <w:top w:val="none" w:sz="0" w:space="0" w:color="auto"/>
        <w:left w:val="none" w:sz="0" w:space="0" w:color="auto"/>
        <w:bottom w:val="none" w:sz="0" w:space="0" w:color="auto"/>
        <w:right w:val="none" w:sz="0" w:space="0" w:color="auto"/>
      </w:divBdr>
    </w:div>
    <w:div w:id="276062989">
      <w:bodyDiv w:val="1"/>
      <w:marLeft w:val="0"/>
      <w:marRight w:val="0"/>
      <w:marTop w:val="0"/>
      <w:marBottom w:val="0"/>
      <w:divBdr>
        <w:top w:val="none" w:sz="0" w:space="0" w:color="auto"/>
        <w:left w:val="none" w:sz="0" w:space="0" w:color="auto"/>
        <w:bottom w:val="none" w:sz="0" w:space="0" w:color="auto"/>
        <w:right w:val="none" w:sz="0" w:space="0" w:color="auto"/>
      </w:divBdr>
    </w:div>
    <w:div w:id="280187306">
      <w:bodyDiv w:val="1"/>
      <w:marLeft w:val="0"/>
      <w:marRight w:val="0"/>
      <w:marTop w:val="0"/>
      <w:marBottom w:val="0"/>
      <w:divBdr>
        <w:top w:val="none" w:sz="0" w:space="0" w:color="auto"/>
        <w:left w:val="none" w:sz="0" w:space="0" w:color="auto"/>
        <w:bottom w:val="none" w:sz="0" w:space="0" w:color="auto"/>
        <w:right w:val="none" w:sz="0" w:space="0" w:color="auto"/>
      </w:divBdr>
    </w:div>
    <w:div w:id="332534083">
      <w:bodyDiv w:val="1"/>
      <w:marLeft w:val="0"/>
      <w:marRight w:val="0"/>
      <w:marTop w:val="0"/>
      <w:marBottom w:val="0"/>
      <w:divBdr>
        <w:top w:val="none" w:sz="0" w:space="0" w:color="auto"/>
        <w:left w:val="none" w:sz="0" w:space="0" w:color="auto"/>
        <w:bottom w:val="none" w:sz="0" w:space="0" w:color="auto"/>
        <w:right w:val="none" w:sz="0" w:space="0" w:color="auto"/>
      </w:divBdr>
    </w:div>
    <w:div w:id="365641580">
      <w:bodyDiv w:val="1"/>
      <w:marLeft w:val="0"/>
      <w:marRight w:val="0"/>
      <w:marTop w:val="0"/>
      <w:marBottom w:val="0"/>
      <w:divBdr>
        <w:top w:val="none" w:sz="0" w:space="0" w:color="auto"/>
        <w:left w:val="none" w:sz="0" w:space="0" w:color="auto"/>
        <w:bottom w:val="none" w:sz="0" w:space="0" w:color="auto"/>
        <w:right w:val="none" w:sz="0" w:space="0" w:color="auto"/>
      </w:divBdr>
    </w:div>
    <w:div w:id="390664868">
      <w:bodyDiv w:val="1"/>
      <w:marLeft w:val="0"/>
      <w:marRight w:val="0"/>
      <w:marTop w:val="0"/>
      <w:marBottom w:val="0"/>
      <w:divBdr>
        <w:top w:val="none" w:sz="0" w:space="0" w:color="auto"/>
        <w:left w:val="none" w:sz="0" w:space="0" w:color="auto"/>
        <w:bottom w:val="none" w:sz="0" w:space="0" w:color="auto"/>
        <w:right w:val="none" w:sz="0" w:space="0" w:color="auto"/>
      </w:divBdr>
    </w:div>
    <w:div w:id="434517259">
      <w:bodyDiv w:val="1"/>
      <w:marLeft w:val="0"/>
      <w:marRight w:val="0"/>
      <w:marTop w:val="0"/>
      <w:marBottom w:val="0"/>
      <w:divBdr>
        <w:top w:val="none" w:sz="0" w:space="0" w:color="auto"/>
        <w:left w:val="none" w:sz="0" w:space="0" w:color="auto"/>
        <w:bottom w:val="none" w:sz="0" w:space="0" w:color="auto"/>
        <w:right w:val="none" w:sz="0" w:space="0" w:color="auto"/>
      </w:divBdr>
    </w:div>
    <w:div w:id="561986137">
      <w:bodyDiv w:val="1"/>
      <w:marLeft w:val="0"/>
      <w:marRight w:val="0"/>
      <w:marTop w:val="0"/>
      <w:marBottom w:val="0"/>
      <w:divBdr>
        <w:top w:val="none" w:sz="0" w:space="0" w:color="auto"/>
        <w:left w:val="none" w:sz="0" w:space="0" w:color="auto"/>
        <w:bottom w:val="none" w:sz="0" w:space="0" w:color="auto"/>
        <w:right w:val="none" w:sz="0" w:space="0" w:color="auto"/>
      </w:divBdr>
    </w:div>
    <w:div w:id="563569238">
      <w:bodyDiv w:val="1"/>
      <w:marLeft w:val="0"/>
      <w:marRight w:val="0"/>
      <w:marTop w:val="0"/>
      <w:marBottom w:val="0"/>
      <w:divBdr>
        <w:top w:val="none" w:sz="0" w:space="0" w:color="auto"/>
        <w:left w:val="none" w:sz="0" w:space="0" w:color="auto"/>
        <w:bottom w:val="none" w:sz="0" w:space="0" w:color="auto"/>
        <w:right w:val="none" w:sz="0" w:space="0" w:color="auto"/>
      </w:divBdr>
    </w:div>
    <w:div w:id="572668459">
      <w:bodyDiv w:val="1"/>
      <w:marLeft w:val="0"/>
      <w:marRight w:val="0"/>
      <w:marTop w:val="0"/>
      <w:marBottom w:val="0"/>
      <w:divBdr>
        <w:top w:val="none" w:sz="0" w:space="0" w:color="auto"/>
        <w:left w:val="none" w:sz="0" w:space="0" w:color="auto"/>
        <w:bottom w:val="none" w:sz="0" w:space="0" w:color="auto"/>
        <w:right w:val="none" w:sz="0" w:space="0" w:color="auto"/>
      </w:divBdr>
    </w:div>
    <w:div w:id="599608785">
      <w:bodyDiv w:val="1"/>
      <w:marLeft w:val="0"/>
      <w:marRight w:val="0"/>
      <w:marTop w:val="0"/>
      <w:marBottom w:val="0"/>
      <w:divBdr>
        <w:top w:val="none" w:sz="0" w:space="0" w:color="auto"/>
        <w:left w:val="none" w:sz="0" w:space="0" w:color="auto"/>
        <w:bottom w:val="none" w:sz="0" w:space="0" w:color="auto"/>
        <w:right w:val="none" w:sz="0" w:space="0" w:color="auto"/>
      </w:divBdr>
    </w:div>
    <w:div w:id="642195492">
      <w:bodyDiv w:val="1"/>
      <w:marLeft w:val="0"/>
      <w:marRight w:val="0"/>
      <w:marTop w:val="0"/>
      <w:marBottom w:val="0"/>
      <w:divBdr>
        <w:top w:val="none" w:sz="0" w:space="0" w:color="auto"/>
        <w:left w:val="none" w:sz="0" w:space="0" w:color="auto"/>
        <w:bottom w:val="none" w:sz="0" w:space="0" w:color="auto"/>
        <w:right w:val="none" w:sz="0" w:space="0" w:color="auto"/>
      </w:divBdr>
    </w:div>
    <w:div w:id="646085374">
      <w:bodyDiv w:val="1"/>
      <w:marLeft w:val="0"/>
      <w:marRight w:val="0"/>
      <w:marTop w:val="0"/>
      <w:marBottom w:val="0"/>
      <w:divBdr>
        <w:top w:val="none" w:sz="0" w:space="0" w:color="auto"/>
        <w:left w:val="none" w:sz="0" w:space="0" w:color="auto"/>
        <w:bottom w:val="none" w:sz="0" w:space="0" w:color="auto"/>
        <w:right w:val="none" w:sz="0" w:space="0" w:color="auto"/>
      </w:divBdr>
    </w:div>
    <w:div w:id="712077711">
      <w:bodyDiv w:val="1"/>
      <w:marLeft w:val="0"/>
      <w:marRight w:val="0"/>
      <w:marTop w:val="0"/>
      <w:marBottom w:val="0"/>
      <w:divBdr>
        <w:top w:val="none" w:sz="0" w:space="0" w:color="auto"/>
        <w:left w:val="none" w:sz="0" w:space="0" w:color="auto"/>
        <w:bottom w:val="none" w:sz="0" w:space="0" w:color="auto"/>
        <w:right w:val="none" w:sz="0" w:space="0" w:color="auto"/>
      </w:divBdr>
    </w:div>
    <w:div w:id="788163021">
      <w:bodyDiv w:val="1"/>
      <w:marLeft w:val="0"/>
      <w:marRight w:val="0"/>
      <w:marTop w:val="0"/>
      <w:marBottom w:val="0"/>
      <w:divBdr>
        <w:top w:val="none" w:sz="0" w:space="0" w:color="auto"/>
        <w:left w:val="none" w:sz="0" w:space="0" w:color="auto"/>
        <w:bottom w:val="none" w:sz="0" w:space="0" w:color="auto"/>
        <w:right w:val="none" w:sz="0" w:space="0" w:color="auto"/>
      </w:divBdr>
    </w:div>
    <w:div w:id="790705559">
      <w:bodyDiv w:val="1"/>
      <w:marLeft w:val="0"/>
      <w:marRight w:val="0"/>
      <w:marTop w:val="0"/>
      <w:marBottom w:val="0"/>
      <w:divBdr>
        <w:top w:val="none" w:sz="0" w:space="0" w:color="auto"/>
        <w:left w:val="none" w:sz="0" w:space="0" w:color="auto"/>
        <w:bottom w:val="none" w:sz="0" w:space="0" w:color="auto"/>
        <w:right w:val="none" w:sz="0" w:space="0" w:color="auto"/>
      </w:divBdr>
    </w:div>
    <w:div w:id="877280160">
      <w:bodyDiv w:val="1"/>
      <w:marLeft w:val="0"/>
      <w:marRight w:val="0"/>
      <w:marTop w:val="0"/>
      <w:marBottom w:val="0"/>
      <w:divBdr>
        <w:top w:val="none" w:sz="0" w:space="0" w:color="auto"/>
        <w:left w:val="none" w:sz="0" w:space="0" w:color="auto"/>
        <w:bottom w:val="none" w:sz="0" w:space="0" w:color="auto"/>
        <w:right w:val="none" w:sz="0" w:space="0" w:color="auto"/>
      </w:divBdr>
    </w:div>
    <w:div w:id="899903129">
      <w:bodyDiv w:val="1"/>
      <w:marLeft w:val="0"/>
      <w:marRight w:val="0"/>
      <w:marTop w:val="0"/>
      <w:marBottom w:val="0"/>
      <w:divBdr>
        <w:top w:val="none" w:sz="0" w:space="0" w:color="auto"/>
        <w:left w:val="none" w:sz="0" w:space="0" w:color="auto"/>
        <w:bottom w:val="none" w:sz="0" w:space="0" w:color="auto"/>
        <w:right w:val="none" w:sz="0" w:space="0" w:color="auto"/>
      </w:divBdr>
    </w:div>
    <w:div w:id="966544874">
      <w:bodyDiv w:val="1"/>
      <w:marLeft w:val="0"/>
      <w:marRight w:val="0"/>
      <w:marTop w:val="0"/>
      <w:marBottom w:val="0"/>
      <w:divBdr>
        <w:top w:val="none" w:sz="0" w:space="0" w:color="auto"/>
        <w:left w:val="none" w:sz="0" w:space="0" w:color="auto"/>
        <w:bottom w:val="none" w:sz="0" w:space="0" w:color="auto"/>
        <w:right w:val="none" w:sz="0" w:space="0" w:color="auto"/>
      </w:divBdr>
    </w:div>
    <w:div w:id="1111247108">
      <w:bodyDiv w:val="1"/>
      <w:marLeft w:val="0"/>
      <w:marRight w:val="0"/>
      <w:marTop w:val="0"/>
      <w:marBottom w:val="0"/>
      <w:divBdr>
        <w:top w:val="none" w:sz="0" w:space="0" w:color="auto"/>
        <w:left w:val="none" w:sz="0" w:space="0" w:color="auto"/>
        <w:bottom w:val="none" w:sz="0" w:space="0" w:color="auto"/>
        <w:right w:val="none" w:sz="0" w:space="0" w:color="auto"/>
      </w:divBdr>
    </w:div>
    <w:div w:id="1164903893">
      <w:bodyDiv w:val="1"/>
      <w:marLeft w:val="0"/>
      <w:marRight w:val="0"/>
      <w:marTop w:val="0"/>
      <w:marBottom w:val="0"/>
      <w:divBdr>
        <w:top w:val="none" w:sz="0" w:space="0" w:color="auto"/>
        <w:left w:val="none" w:sz="0" w:space="0" w:color="auto"/>
        <w:bottom w:val="none" w:sz="0" w:space="0" w:color="auto"/>
        <w:right w:val="none" w:sz="0" w:space="0" w:color="auto"/>
      </w:divBdr>
    </w:div>
    <w:div w:id="1236669239">
      <w:bodyDiv w:val="1"/>
      <w:marLeft w:val="0"/>
      <w:marRight w:val="0"/>
      <w:marTop w:val="0"/>
      <w:marBottom w:val="0"/>
      <w:divBdr>
        <w:top w:val="none" w:sz="0" w:space="0" w:color="auto"/>
        <w:left w:val="none" w:sz="0" w:space="0" w:color="auto"/>
        <w:bottom w:val="none" w:sz="0" w:space="0" w:color="auto"/>
        <w:right w:val="none" w:sz="0" w:space="0" w:color="auto"/>
      </w:divBdr>
    </w:div>
    <w:div w:id="1242065194">
      <w:bodyDiv w:val="1"/>
      <w:marLeft w:val="0"/>
      <w:marRight w:val="0"/>
      <w:marTop w:val="0"/>
      <w:marBottom w:val="0"/>
      <w:divBdr>
        <w:top w:val="none" w:sz="0" w:space="0" w:color="auto"/>
        <w:left w:val="none" w:sz="0" w:space="0" w:color="auto"/>
        <w:bottom w:val="none" w:sz="0" w:space="0" w:color="auto"/>
        <w:right w:val="none" w:sz="0" w:space="0" w:color="auto"/>
      </w:divBdr>
    </w:div>
    <w:div w:id="1275360940">
      <w:bodyDiv w:val="1"/>
      <w:marLeft w:val="0"/>
      <w:marRight w:val="0"/>
      <w:marTop w:val="0"/>
      <w:marBottom w:val="0"/>
      <w:divBdr>
        <w:top w:val="none" w:sz="0" w:space="0" w:color="auto"/>
        <w:left w:val="none" w:sz="0" w:space="0" w:color="auto"/>
        <w:bottom w:val="none" w:sz="0" w:space="0" w:color="auto"/>
        <w:right w:val="none" w:sz="0" w:space="0" w:color="auto"/>
      </w:divBdr>
    </w:div>
    <w:div w:id="1320767620">
      <w:bodyDiv w:val="1"/>
      <w:marLeft w:val="0"/>
      <w:marRight w:val="0"/>
      <w:marTop w:val="0"/>
      <w:marBottom w:val="0"/>
      <w:divBdr>
        <w:top w:val="none" w:sz="0" w:space="0" w:color="auto"/>
        <w:left w:val="none" w:sz="0" w:space="0" w:color="auto"/>
        <w:bottom w:val="none" w:sz="0" w:space="0" w:color="auto"/>
        <w:right w:val="none" w:sz="0" w:space="0" w:color="auto"/>
      </w:divBdr>
    </w:div>
    <w:div w:id="1420561592">
      <w:bodyDiv w:val="1"/>
      <w:marLeft w:val="0"/>
      <w:marRight w:val="0"/>
      <w:marTop w:val="0"/>
      <w:marBottom w:val="0"/>
      <w:divBdr>
        <w:top w:val="none" w:sz="0" w:space="0" w:color="auto"/>
        <w:left w:val="none" w:sz="0" w:space="0" w:color="auto"/>
        <w:bottom w:val="none" w:sz="0" w:space="0" w:color="auto"/>
        <w:right w:val="none" w:sz="0" w:space="0" w:color="auto"/>
      </w:divBdr>
    </w:div>
    <w:div w:id="1435397171">
      <w:bodyDiv w:val="1"/>
      <w:marLeft w:val="0"/>
      <w:marRight w:val="0"/>
      <w:marTop w:val="0"/>
      <w:marBottom w:val="0"/>
      <w:divBdr>
        <w:top w:val="none" w:sz="0" w:space="0" w:color="auto"/>
        <w:left w:val="none" w:sz="0" w:space="0" w:color="auto"/>
        <w:bottom w:val="none" w:sz="0" w:space="0" w:color="auto"/>
        <w:right w:val="none" w:sz="0" w:space="0" w:color="auto"/>
      </w:divBdr>
    </w:div>
    <w:div w:id="1457719777">
      <w:bodyDiv w:val="1"/>
      <w:marLeft w:val="0"/>
      <w:marRight w:val="0"/>
      <w:marTop w:val="0"/>
      <w:marBottom w:val="0"/>
      <w:divBdr>
        <w:top w:val="none" w:sz="0" w:space="0" w:color="auto"/>
        <w:left w:val="none" w:sz="0" w:space="0" w:color="auto"/>
        <w:bottom w:val="none" w:sz="0" w:space="0" w:color="auto"/>
        <w:right w:val="none" w:sz="0" w:space="0" w:color="auto"/>
      </w:divBdr>
    </w:div>
    <w:div w:id="1567571829">
      <w:bodyDiv w:val="1"/>
      <w:marLeft w:val="0"/>
      <w:marRight w:val="0"/>
      <w:marTop w:val="0"/>
      <w:marBottom w:val="0"/>
      <w:divBdr>
        <w:top w:val="none" w:sz="0" w:space="0" w:color="auto"/>
        <w:left w:val="none" w:sz="0" w:space="0" w:color="auto"/>
        <w:bottom w:val="none" w:sz="0" w:space="0" w:color="auto"/>
        <w:right w:val="none" w:sz="0" w:space="0" w:color="auto"/>
      </w:divBdr>
    </w:div>
    <w:div w:id="1625958726">
      <w:bodyDiv w:val="1"/>
      <w:marLeft w:val="0"/>
      <w:marRight w:val="0"/>
      <w:marTop w:val="0"/>
      <w:marBottom w:val="0"/>
      <w:divBdr>
        <w:top w:val="none" w:sz="0" w:space="0" w:color="auto"/>
        <w:left w:val="none" w:sz="0" w:space="0" w:color="auto"/>
        <w:bottom w:val="none" w:sz="0" w:space="0" w:color="auto"/>
        <w:right w:val="none" w:sz="0" w:space="0" w:color="auto"/>
      </w:divBdr>
    </w:div>
    <w:div w:id="1626422095">
      <w:bodyDiv w:val="1"/>
      <w:marLeft w:val="0"/>
      <w:marRight w:val="0"/>
      <w:marTop w:val="0"/>
      <w:marBottom w:val="0"/>
      <w:divBdr>
        <w:top w:val="none" w:sz="0" w:space="0" w:color="auto"/>
        <w:left w:val="none" w:sz="0" w:space="0" w:color="auto"/>
        <w:bottom w:val="none" w:sz="0" w:space="0" w:color="auto"/>
        <w:right w:val="none" w:sz="0" w:space="0" w:color="auto"/>
      </w:divBdr>
    </w:div>
    <w:div w:id="1630087109">
      <w:bodyDiv w:val="1"/>
      <w:marLeft w:val="0"/>
      <w:marRight w:val="0"/>
      <w:marTop w:val="0"/>
      <w:marBottom w:val="0"/>
      <w:divBdr>
        <w:top w:val="none" w:sz="0" w:space="0" w:color="auto"/>
        <w:left w:val="none" w:sz="0" w:space="0" w:color="auto"/>
        <w:bottom w:val="none" w:sz="0" w:space="0" w:color="auto"/>
        <w:right w:val="none" w:sz="0" w:space="0" w:color="auto"/>
      </w:divBdr>
    </w:div>
    <w:div w:id="1637952986">
      <w:bodyDiv w:val="1"/>
      <w:marLeft w:val="0"/>
      <w:marRight w:val="0"/>
      <w:marTop w:val="0"/>
      <w:marBottom w:val="0"/>
      <w:divBdr>
        <w:top w:val="none" w:sz="0" w:space="0" w:color="auto"/>
        <w:left w:val="none" w:sz="0" w:space="0" w:color="auto"/>
        <w:bottom w:val="none" w:sz="0" w:space="0" w:color="auto"/>
        <w:right w:val="none" w:sz="0" w:space="0" w:color="auto"/>
      </w:divBdr>
    </w:div>
    <w:div w:id="1759718192">
      <w:bodyDiv w:val="1"/>
      <w:marLeft w:val="0"/>
      <w:marRight w:val="0"/>
      <w:marTop w:val="0"/>
      <w:marBottom w:val="0"/>
      <w:divBdr>
        <w:top w:val="none" w:sz="0" w:space="0" w:color="auto"/>
        <w:left w:val="none" w:sz="0" w:space="0" w:color="auto"/>
        <w:bottom w:val="none" w:sz="0" w:space="0" w:color="auto"/>
        <w:right w:val="none" w:sz="0" w:space="0" w:color="auto"/>
      </w:divBdr>
    </w:div>
    <w:div w:id="1789810240">
      <w:bodyDiv w:val="1"/>
      <w:marLeft w:val="0"/>
      <w:marRight w:val="0"/>
      <w:marTop w:val="0"/>
      <w:marBottom w:val="0"/>
      <w:divBdr>
        <w:top w:val="none" w:sz="0" w:space="0" w:color="auto"/>
        <w:left w:val="none" w:sz="0" w:space="0" w:color="auto"/>
        <w:bottom w:val="none" w:sz="0" w:space="0" w:color="auto"/>
        <w:right w:val="none" w:sz="0" w:space="0" w:color="auto"/>
      </w:divBdr>
    </w:div>
    <w:div w:id="1809514561">
      <w:bodyDiv w:val="1"/>
      <w:marLeft w:val="0"/>
      <w:marRight w:val="0"/>
      <w:marTop w:val="0"/>
      <w:marBottom w:val="0"/>
      <w:divBdr>
        <w:top w:val="none" w:sz="0" w:space="0" w:color="auto"/>
        <w:left w:val="none" w:sz="0" w:space="0" w:color="auto"/>
        <w:bottom w:val="none" w:sz="0" w:space="0" w:color="auto"/>
        <w:right w:val="none" w:sz="0" w:space="0" w:color="auto"/>
      </w:divBdr>
    </w:div>
    <w:div w:id="1860460648">
      <w:bodyDiv w:val="1"/>
      <w:marLeft w:val="0"/>
      <w:marRight w:val="0"/>
      <w:marTop w:val="0"/>
      <w:marBottom w:val="0"/>
      <w:divBdr>
        <w:top w:val="none" w:sz="0" w:space="0" w:color="auto"/>
        <w:left w:val="none" w:sz="0" w:space="0" w:color="auto"/>
        <w:bottom w:val="none" w:sz="0" w:space="0" w:color="auto"/>
        <w:right w:val="none" w:sz="0" w:space="0" w:color="auto"/>
      </w:divBdr>
    </w:div>
    <w:div w:id="1901944198">
      <w:bodyDiv w:val="1"/>
      <w:marLeft w:val="0"/>
      <w:marRight w:val="0"/>
      <w:marTop w:val="0"/>
      <w:marBottom w:val="0"/>
      <w:divBdr>
        <w:top w:val="none" w:sz="0" w:space="0" w:color="auto"/>
        <w:left w:val="none" w:sz="0" w:space="0" w:color="auto"/>
        <w:bottom w:val="none" w:sz="0" w:space="0" w:color="auto"/>
        <w:right w:val="none" w:sz="0" w:space="0" w:color="auto"/>
      </w:divBdr>
    </w:div>
    <w:div w:id="1934820662">
      <w:bodyDiv w:val="1"/>
      <w:marLeft w:val="0"/>
      <w:marRight w:val="0"/>
      <w:marTop w:val="0"/>
      <w:marBottom w:val="0"/>
      <w:divBdr>
        <w:top w:val="none" w:sz="0" w:space="0" w:color="auto"/>
        <w:left w:val="none" w:sz="0" w:space="0" w:color="auto"/>
        <w:bottom w:val="none" w:sz="0" w:space="0" w:color="auto"/>
        <w:right w:val="none" w:sz="0" w:space="0" w:color="auto"/>
      </w:divBdr>
    </w:div>
    <w:div w:id="2011130281">
      <w:bodyDiv w:val="1"/>
      <w:marLeft w:val="0"/>
      <w:marRight w:val="0"/>
      <w:marTop w:val="0"/>
      <w:marBottom w:val="0"/>
      <w:divBdr>
        <w:top w:val="none" w:sz="0" w:space="0" w:color="auto"/>
        <w:left w:val="none" w:sz="0" w:space="0" w:color="auto"/>
        <w:bottom w:val="none" w:sz="0" w:space="0" w:color="auto"/>
        <w:right w:val="none" w:sz="0" w:space="0" w:color="auto"/>
      </w:divBdr>
    </w:div>
    <w:div w:id="2102219019">
      <w:bodyDiv w:val="1"/>
      <w:marLeft w:val="0"/>
      <w:marRight w:val="0"/>
      <w:marTop w:val="0"/>
      <w:marBottom w:val="0"/>
      <w:divBdr>
        <w:top w:val="none" w:sz="0" w:space="0" w:color="auto"/>
        <w:left w:val="none" w:sz="0" w:space="0" w:color="auto"/>
        <w:bottom w:val="none" w:sz="0" w:space="0" w:color="auto"/>
        <w:right w:val="none" w:sz="0" w:space="0" w:color="auto"/>
      </w:divBdr>
    </w:div>
    <w:div w:id="21157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6967FFD48C64DCB92D0E062611EC372"/>
        <w:category>
          <w:name w:val="General"/>
          <w:gallery w:val="placeholder"/>
        </w:category>
        <w:types>
          <w:type w:val="bbPlcHdr"/>
        </w:types>
        <w:behaviors>
          <w:behavior w:val="content"/>
        </w:behaviors>
        <w:guid w:val="{847952A9-7F63-4228-A8BB-55D71F3860A4}"/>
      </w:docPartPr>
      <w:docPartBody>
        <w:p w:rsidR="00C4043C" w:rsidRDefault="00E04BD4" w:rsidP="00E04BD4">
          <w:pPr>
            <w:pStyle w:val="76967FFD48C64DCB92D0E062611EC372"/>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altName w:val="Calibri"/>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formatting="0"/>
  <w:defaultTabStop w:val="720"/>
  <w:characterSpacingControl w:val="doNotCompress"/>
  <w:compat>
    <w:useFELayout/>
  </w:compat>
  <w:rsids>
    <w:rsidRoot w:val="00E04BD4"/>
    <w:rsid w:val="000A3BCC"/>
    <w:rsid w:val="000B37B2"/>
    <w:rsid w:val="00110AC9"/>
    <w:rsid w:val="00365FF5"/>
    <w:rsid w:val="003E629A"/>
    <w:rsid w:val="004814D2"/>
    <w:rsid w:val="006D3352"/>
    <w:rsid w:val="007E5533"/>
    <w:rsid w:val="009D457B"/>
    <w:rsid w:val="00B7795D"/>
    <w:rsid w:val="00C4043C"/>
    <w:rsid w:val="00DA4533"/>
    <w:rsid w:val="00E04BD4"/>
    <w:rsid w:val="00ED3D39"/>
    <w:rsid w:val="00ED58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9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6967FFD48C64DCB92D0E062611EC372">
    <w:name w:val="76967FFD48C64DCB92D0E062611EC372"/>
    <w:rsid w:val="00E04BD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8862D-F73D-4FA8-88B3-B5536079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Παράρτημα ΙΙΙ</vt:lpstr>
    </vt:vector>
  </TitlesOfParts>
  <Company>Deloitte Touche Tohmatsu Services, Inc.</Company>
  <LinksUpToDate>false</LinksUpToDate>
  <CharactersWithSpaces>14962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Παράρτημα ΙΙΙ</dc:title>
  <dc:creator>Georgiou, Michalis (CY - Nicosia)</dc:creator>
  <cp:lastModifiedBy>ΜΧ</cp:lastModifiedBy>
  <cp:revision>2</cp:revision>
  <cp:lastPrinted>2018-06-12T11:43:00Z</cp:lastPrinted>
  <dcterms:created xsi:type="dcterms:W3CDTF">2019-05-24T12:37:00Z</dcterms:created>
  <dcterms:modified xsi:type="dcterms:W3CDTF">2019-05-24T12:37:00Z</dcterms:modified>
</cp:coreProperties>
</file>