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5E" w:rsidRDefault="003B3ED2" w:rsidP="00ED53C1">
      <w:pPr>
        <w:spacing w:after="0" w:line="240" w:lineRule="auto"/>
        <w:jc w:val="center"/>
        <w:rPr>
          <w:rFonts w:ascii="Verdana" w:hAnsi="Verdana"/>
          <w:b/>
          <w:sz w:val="28"/>
          <w:szCs w:val="28"/>
          <w:lang w:val="el-GR"/>
        </w:rPr>
      </w:pPr>
      <w:bookmarkStart w:id="0" w:name="_GoBack"/>
      <w:bookmarkEnd w:id="0"/>
      <w:r>
        <w:rPr>
          <w:rFonts w:ascii="Verdana" w:hAnsi="Verdana"/>
          <w:b/>
          <w:sz w:val="28"/>
          <w:szCs w:val="28"/>
          <w:lang w:val="el-GR"/>
        </w:rPr>
        <w:t xml:space="preserve">Κυριότερες </w:t>
      </w:r>
      <w:r w:rsidR="00670B69">
        <w:rPr>
          <w:rFonts w:ascii="Verdana" w:hAnsi="Verdana"/>
          <w:b/>
          <w:sz w:val="28"/>
          <w:szCs w:val="28"/>
          <w:lang w:val="el-GR"/>
        </w:rPr>
        <w:t>νομοθετικ</w:t>
      </w:r>
      <w:r>
        <w:rPr>
          <w:rFonts w:ascii="Verdana" w:hAnsi="Verdana"/>
          <w:b/>
          <w:sz w:val="28"/>
          <w:szCs w:val="28"/>
          <w:lang w:val="el-GR"/>
        </w:rPr>
        <w:t>ές</w:t>
      </w:r>
      <w:r w:rsidR="00670B69">
        <w:rPr>
          <w:rFonts w:ascii="Verdana" w:hAnsi="Verdana"/>
          <w:b/>
          <w:sz w:val="28"/>
          <w:szCs w:val="28"/>
          <w:lang w:val="el-GR"/>
        </w:rPr>
        <w:t xml:space="preserve"> μεταρρυθμίσε</w:t>
      </w:r>
      <w:r>
        <w:rPr>
          <w:rFonts w:ascii="Verdana" w:hAnsi="Verdana"/>
          <w:b/>
          <w:sz w:val="28"/>
          <w:szCs w:val="28"/>
          <w:lang w:val="el-GR"/>
        </w:rPr>
        <w:t>ις</w:t>
      </w:r>
      <w:r w:rsidR="00ED53C1">
        <w:rPr>
          <w:rFonts w:ascii="Verdana" w:hAnsi="Verdana"/>
          <w:b/>
          <w:sz w:val="28"/>
          <w:szCs w:val="28"/>
          <w:lang w:val="el-GR"/>
        </w:rPr>
        <w:t xml:space="preserve"> που </w:t>
      </w:r>
      <w:r w:rsidR="00985289">
        <w:rPr>
          <w:rFonts w:ascii="Verdana" w:hAnsi="Verdana"/>
          <w:b/>
          <w:sz w:val="28"/>
          <w:szCs w:val="28"/>
          <w:lang w:val="el-GR"/>
        </w:rPr>
        <w:t xml:space="preserve">τίθενται σε ισχύ </w:t>
      </w:r>
    </w:p>
    <w:p w:rsidR="00E56BC1" w:rsidRDefault="00E56BC1" w:rsidP="00ED53C1">
      <w:pPr>
        <w:spacing w:after="0" w:line="240" w:lineRule="auto"/>
        <w:jc w:val="center"/>
        <w:rPr>
          <w:rFonts w:ascii="Verdana" w:hAnsi="Verdana"/>
          <w:b/>
          <w:sz w:val="28"/>
          <w:szCs w:val="28"/>
          <w:lang w:val="el-GR"/>
        </w:rPr>
      </w:pPr>
    </w:p>
    <w:p w:rsidR="00BD5969" w:rsidRPr="00F91349" w:rsidRDefault="00BD5969" w:rsidP="00374371">
      <w:pPr>
        <w:spacing w:after="0" w:line="240" w:lineRule="auto"/>
        <w:rPr>
          <w:rFonts w:ascii="Verdana" w:hAnsi="Verdana"/>
          <w:lang w:val="el-GR"/>
        </w:rPr>
      </w:pPr>
    </w:p>
    <w:p w:rsidR="00FB07AE" w:rsidRPr="007E41F4" w:rsidRDefault="00D50B7B" w:rsidP="00D50B7B">
      <w:pPr>
        <w:spacing w:after="0" w:line="240" w:lineRule="auto"/>
        <w:jc w:val="center"/>
        <w:rPr>
          <w:rFonts w:ascii="Verdana" w:hAnsi="Verdana"/>
          <w:b/>
          <w:sz w:val="28"/>
          <w:szCs w:val="28"/>
          <w:lang w:val="el-GR"/>
        </w:rPr>
      </w:pPr>
      <w:r w:rsidRPr="00670B69">
        <w:rPr>
          <w:rFonts w:ascii="Verdana" w:hAnsi="Verdana"/>
          <w:b/>
          <w:sz w:val="28"/>
          <w:szCs w:val="28"/>
          <w:lang w:val="el-GR"/>
        </w:rPr>
        <w:t>Απλοποίηση Διαδικασιών</w:t>
      </w:r>
    </w:p>
    <w:p w:rsidR="00FB07AE" w:rsidRPr="00EC587F" w:rsidRDefault="00FB07AE" w:rsidP="00374371">
      <w:pPr>
        <w:spacing w:after="0" w:line="240" w:lineRule="auto"/>
        <w:rPr>
          <w:rFonts w:ascii="Verdana" w:hAnsi="Verdana"/>
          <w:lang w:val="el-GR"/>
        </w:rPr>
      </w:pPr>
    </w:p>
    <w:tbl>
      <w:tblPr>
        <w:tblStyle w:val="TableGrid"/>
        <w:tblW w:w="14058" w:type="dxa"/>
        <w:tblLook w:val="04A0"/>
      </w:tblPr>
      <w:tblGrid>
        <w:gridCol w:w="8118"/>
        <w:gridCol w:w="5940"/>
      </w:tblGrid>
      <w:tr w:rsidR="007E41F4" w:rsidRPr="00EC587F" w:rsidTr="00A14625">
        <w:tc>
          <w:tcPr>
            <w:tcW w:w="8118" w:type="dxa"/>
            <w:shd w:val="clear" w:color="auto" w:fill="BFBFBF" w:themeFill="background1" w:themeFillShade="BF"/>
          </w:tcPr>
          <w:p w:rsidR="007E41F4" w:rsidRPr="00EC587F" w:rsidRDefault="007E41F4" w:rsidP="003450FB">
            <w:pPr>
              <w:jc w:val="center"/>
              <w:rPr>
                <w:rFonts w:ascii="Verdana" w:hAnsi="Verdana"/>
                <w:b/>
                <w:lang w:val="el-GR"/>
              </w:rPr>
            </w:pPr>
            <w:r w:rsidRPr="007E41F4">
              <w:rPr>
                <w:rFonts w:ascii="Verdana" w:hAnsi="Verdana"/>
                <w:b/>
                <w:lang w:val="el-GR"/>
              </w:rPr>
              <w:t>Νομοθετική μεταρρύθμιση</w:t>
            </w:r>
          </w:p>
        </w:tc>
        <w:tc>
          <w:tcPr>
            <w:tcW w:w="5940" w:type="dxa"/>
            <w:shd w:val="clear" w:color="auto" w:fill="BFBFBF" w:themeFill="background1" w:themeFillShade="BF"/>
          </w:tcPr>
          <w:p w:rsidR="007E41F4" w:rsidRPr="00EC587F" w:rsidRDefault="007E41F4" w:rsidP="003450FB">
            <w:pPr>
              <w:jc w:val="center"/>
              <w:rPr>
                <w:rFonts w:ascii="Verdana" w:hAnsi="Verdana"/>
                <w:b/>
                <w:lang w:val="el-GR"/>
              </w:rPr>
            </w:pPr>
            <w:r w:rsidRPr="007E41F4">
              <w:rPr>
                <w:rFonts w:ascii="Verdana" w:hAnsi="Verdana"/>
                <w:b/>
                <w:lang w:val="el-GR"/>
              </w:rPr>
              <w:t>Χρονικός ορίζοντας εφαρμογής</w:t>
            </w:r>
          </w:p>
        </w:tc>
      </w:tr>
      <w:tr w:rsidR="00F12752" w:rsidRPr="008544E2" w:rsidTr="0068281A">
        <w:tc>
          <w:tcPr>
            <w:tcW w:w="8118" w:type="dxa"/>
            <w:vAlign w:val="center"/>
          </w:tcPr>
          <w:p w:rsidR="00866B7B" w:rsidRDefault="00866B7B" w:rsidP="0068281A">
            <w:pPr>
              <w:rPr>
                <w:rFonts w:ascii="Calibri" w:eastAsia="Times New Roman" w:hAnsi="Calibri" w:cs="Times New Roman"/>
                <w:bCs/>
                <w:color w:val="000000"/>
                <w:sz w:val="24"/>
                <w:szCs w:val="24"/>
                <w:lang w:val="el-GR" w:eastAsia="el-GR"/>
              </w:rPr>
            </w:pPr>
          </w:p>
          <w:p w:rsidR="00F12752" w:rsidRDefault="00F12752" w:rsidP="0068281A">
            <w:pPr>
              <w:rPr>
                <w:rFonts w:ascii="Calibri" w:eastAsia="Times New Roman" w:hAnsi="Calibri" w:cs="Times New Roman"/>
                <w:color w:val="000000"/>
                <w:sz w:val="24"/>
                <w:szCs w:val="24"/>
                <w:lang w:val="el-GR" w:eastAsia="el-GR"/>
              </w:rPr>
            </w:pPr>
            <w:r w:rsidRPr="00670B69">
              <w:rPr>
                <w:rFonts w:ascii="Calibri" w:eastAsia="Times New Roman" w:hAnsi="Calibri" w:cs="Times New Roman"/>
                <w:bCs/>
                <w:color w:val="000000"/>
                <w:sz w:val="24"/>
                <w:szCs w:val="24"/>
                <w:lang w:val="el-GR" w:eastAsia="el-GR"/>
              </w:rPr>
              <w:t xml:space="preserve">Απάλειψη του </w:t>
            </w:r>
            <w:r w:rsidRPr="00670B69">
              <w:rPr>
                <w:rFonts w:ascii="Calibri" w:eastAsia="Times New Roman" w:hAnsi="Calibri" w:cs="Times New Roman"/>
                <w:b/>
                <w:bCs/>
                <w:color w:val="000000"/>
                <w:sz w:val="24"/>
                <w:szCs w:val="24"/>
                <w:lang w:val="el-GR" w:eastAsia="el-GR"/>
              </w:rPr>
              <w:t>κυμαινόμενου τέλους (0,6%)</w:t>
            </w:r>
            <w:r w:rsidRPr="00670B69">
              <w:rPr>
                <w:rFonts w:ascii="Calibri" w:eastAsia="Times New Roman" w:hAnsi="Calibri" w:cs="Times New Roman"/>
                <w:bCs/>
                <w:color w:val="000000"/>
                <w:sz w:val="24"/>
                <w:szCs w:val="24"/>
                <w:lang w:val="el-GR" w:eastAsia="el-GR"/>
              </w:rPr>
              <w:t xml:space="preserve"> επί του ονομαστικού κεφαλα</w:t>
            </w:r>
            <w:r>
              <w:rPr>
                <w:rFonts w:ascii="Calibri" w:eastAsia="Times New Roman" w:hAnsi="Calibri" w:cs="Times New Roman"/>
                <w:bCs/>
                <w:color w:val="000000"/>
                <w:sz w:val="24"/>
                <w:szCs w:val="24"/>
                <w:lang w:val="el-GR" w:eastAsia="el-GR"/>
              </w:rPr>
              <w:t xml:space="preserve">ίου κατά την </w:t>
            </w:r>
            <w:r w:rsidRPr="004B5E41">
              <w:rPr>
                <w:rFonts w:ascii="Calibri" w:eastAsia="Times New Roman" w:hAnsi="Calibri" w:cs="Times New Roman"/>
                <w:b/>
                <w:bCs/>
                <w:color w:val="000000"/>
                <w:sz w:val="24"/>
                <w:szCs w:val="24"/>
                <w:lang w:val="el-GR" w:eastAsia="el-GR"/>
              </w:rPr>
              <w:t>εγγραφή εταιρείας</w:t>
            </w:r>
            <w:r>
              <w:rPr>
                <w:rFonts w:ascii="Calibri" w:eastAsia="Times New Roman" w:hAnsi="Calibri" w:cs="Times New Roman"/>
                <w:bCs/>
                <w:color w:val="000000"/>
                <w:sz w:val="24"/>
                <w:szCs w:val="24"/>
                <w:lang w:val="el-GR" w:eastAsia="el-GR"/>
              </w:rPr>
              <w:t xml:space="preserve"> με αποτέλεσμα τη </w:t>
            </w:r>
            <w:r w:rsidRPr="002779B0">
              <w:rPr>
                <w:rFonts w:ascii="Calibri" w:eastAsia="Times New Roman" w:hAnsi="Calibri" w:cs="Times New Roman"/>
                <w:b/>
                <w:bCs/>
                <w:color w:val="000000"/>
                <w:sz w:val="24"/>
                <w:szCs w:val="24"/>
                <w:lang w:val="el-GR" w:eastAsia="el-GR"/>
              </w:rPr>
              <w:t>μείωση του κόστους εγγραφής εταιρείας</w:t>
            </w:r>
            <w:r>
              <w:rPr>
                <w:rFonts w:ascii="Calibri" w:eastAsia="Times New Roman" w:hAnsi="Calibri" w:cs="Times New Roman"/>
                <w:bCs/>
                <w:color w:val="000000"/>
                <w:sz w:val="24"/>
                <w:szCs w:val="24"/>
                <w:lang w:val="el-GR" w:eastAsia="el-GR"/>
              </w:rPr>
              <w:t xml:space="preserve">. Απώτερος σκοπός της εν λόγω νομοθετικής μεταρρύθμισης είναι η </w:t>
            </w:r>
            <w:r w:rsidRPr="00670B69">
              <w:rPr>
                <w:rFonts w:ascii="Calibri" w:eastAsia="Times New Roman" w:hAnsi="Calibri" w:cs="Times New Roman"/>
                <w:color w:val="000000"/>
                <w:sz w:val="24"/>
                <w:szCs w:val="24"/>
                <w:lang w:val="el-GR" w:eastAsia="el-GR"/>
              </w:rPr>
              <w:t xml:space="preserve"> </w:t>
            </w:r>
            <w:r w:rsidRPr="00B6040A">
              <w:rPr>
                <w:rFonts w:ascii="Calibri" w:eastAsia="Times New Roman" w:hAnsi="Calibri" w:cs="Times New Roman"/>
                <w:color w:val="000000"/>
                <w:sz w:val="24"/>
                <w:szCs w:val="24"/>
                <w:lang w:val="el-GR" w:eastAsia="el-GR"/>
              </w:rPr>
              <w:t>βελτίωση της ανταγωνιστικότητας της Κύπρου ως δ</w:t>
            </w:r>
            <w:r>
              <w:rPr>
                <w:rFonts w:ascii="Calibri" w:eastAsia="Times New Roman" w:hAnsi="Calibri" w:cs="Times New Roman"/>
                <w:color w:val="000000"/>
                <w:sz w:val="24"/>
                <w:szCs w:val="24"/>
                <w:lang w:val="el-GR" w:eastAsia="el-GR"/>
              </w:rPr>
              <w:t>ιεθνούς επιχειρηματικού κέντρου.</w:t>
            </w:r>
          </w:p>
          <w:p w:rsidR="00F12752" w:rsidRPr="00BA62ED" w:rsidRDefault="00F12752" w:rsidP="0068281A">
            <w:pPr>
              <w:rPr>
                <w:rFonts w:ascii="Verdana" w:hAnsi="Verdana"/>
                <w:lang w:val="el-GR"/>
              </w:rPr>
            </w:pPr>
          </w:p>
        </w:tc>
        <w:tc>
          <w:tcPr>
            <w:tcW w:w="5940" w:type="dxa"/>
            <w:vAlign w:val="center"/>
          </w:tcPr>
          <w:p w:rsidR="00F12752" w:rsidRPr="00EC587F" w:rsidRDefault="000E65FA" w:rsidP="0093277A">
            <w:pPr>
              <w:jc w:val="center"/>
              <w:rPr>
                <w:rFonts w:ascii="Verdana" w:hAnsi="Verdana"/>
                <w:lang w:val="el-GR"/>
              </w:rPr>
            </w:pPr>
            <w:r>
              <w:rPr>
                <w:rFonts w:ascii="Calibri" w:hAnsi="Calibri"/>
                <w:color w:val="000000"/>
                <w:lang w:val="el-GR"/>
              </w:rPr>
              <w:t>μ</w:t>
            </w:r>
            <w:r w:rsidR="00F12752">
              <w:rPr>
                <w:rFonts w:ascii="Calibri" w:hAnsi="Calibri"/>
                <w:color w:val="000000"/>
                <w:lang w:val="el-GR"/>
              </w:rPr>
              <w:t>ε τη δημοσίευση του νομοθετικού πακέτου στην Επίσημη Εφημερίδα (</w:t>
            </w:r>
            <w:r w:rsidR="00C73606">
              <w:rPr>
                <w:rFonts w:ascii="Calibri" w:hAnsi="Calibri"/>
                <w:color w:val="000000"/>
                <w:lang w:val="el-GR"/>
              </w:rPr>
              <w:t>18</w:t>
            </w:r>
            <w:r w:rsidR="00F12752" w:rsidRPr="00F12752">
              <w:rPr>
                <w:rFonts w:ascii="Calibri" w:hAnsi="Calibri"/>
                <w:color w:val="000000"/>
                <w:lang w:val="el-GR"/>
              </w:rPr>
              <w:t>/12/2018</w:t>
            </w:r>
            <w:r w:rsidR="00F12752">
              <w:rPr>
                <w:rFonts w:ascii="Calibri" w:hAnsi="Calibri"/>
                <w:color w:val="000000"/>
                <w:lang w:val="el-GR"/>
              </w:rPr>
              <w:t>)</w:t>
            </w:r>
          </w:p>
        </w:tc>
      </w:tr>
      <w:tr w:rsidR="00F12752" w:rsidRPr="008544E2" w:rsidTr="0068281A">
        <w:tc>
          <w:tcPr>
            <w:tcW w:w="8118" w:type="dxa"/>
            <w:vAlign w:val="center"/>
          </w:tcPr>
          <w:p w:rsidR="003542F7" w:rsidRDefault="00F12752" w:rsidP="0068281A">
            <w:pPr>
              <w:rPr>
                <w:rFonts w:ascii="Calibri" w:hAnsi="Calibri" w:cs="Calibri"/>
                <w:lang w:val="el-GR"/>
              </w:rPr>
            </w:pPr>
            <w:r w:rsidRPr="00670B69">
              <w:rPr>
                <w:rFonts w:ascii="Calibri" w:eastAsia="Times New Roman" w:hAnsi="Calibri" w:cs="Times New Roman"/>
                <w:bCs/>
                <w:color w:val="000000"/>
                <w:sz w:val="24"/>
                <w:szCs w:val="24"/>
                <w:lang w:val="el-GR" w:eastAsia="el-GR"/>
              </w:rPr>
              <w:t xml:space="preserve">Απάλειψη του </w:t>
            </w:r>
            <w:r w:rsidRPr="00670B69">
              <w:rPr>
                <w:rFonts w:ascii="Calibri" w:eastAsia="Times New Roman" w:hAnsi="Calibri" w:cs="Times New Roman"/>
                <w:b/>
                <w:bCs/>
                <w:color w:val="000000"/>
                <w:sz w:val="24"/>
                <w:szCs w:val="24"/>
                <w:lang w:val="el-GR" w:eastAsia="el-GR"/>
              </w:rPr>
              <w:t>κυμαινόμενου τέλους (0,6%)</w:t>
            </w:r>
            <w:r w:rsidRPr="00670B69">
              <w:rPr>
                <w:rFonts w:ascii="Calibri" w:eastAsia="Times New Roman" w:hAnsi="Calibri" w:cs="Times New Roman"/>
                <w:bCs/>
                <w:color w:val="000000"/>
                <w:sz w:val="24"/>
                <w:szCs w:val="24"/>
                <w:lang w:val="el-GR" w:eastAsia="el-GR"/>
              </w:rPr>
              <w:t xml:space="preserve"> επί της διαφοράς μετά από </w:t>
            </w:r>
            <w:r w:rsidRPr="004B5E41">
              <w:rPr>
                <w:rFonts w:ascii="Calibri" w:eastAsia="Times New Roman" w:hAnsi="Calibri" w:cs="Times New Roman"/>
                <w:b/>
                <w:bCs/>
                <w:color w:val="000000"/>
                <w:sz w:val="24"/>
                <w:szCs w:val="24"/>
                <w:lang w:val="el-GR" w:eastAsia="el-GR"/>
              </w:rPr>
              <w:t>αύξηση του ονομαστικού κεφαλαίου</w:t>
            </w:r>
            <w:r w:rsidR="002D29F5">
              <w:rPr>
                <w:rFonts w:ascii="Calibri" w:eastAsia="Times New Roman" w:hAnsi="Calibri" w:cs="Times New Roman"/>
                <w:bCs/>
                <w:color w:val="000000"/>
                <w:sz w:val="24"/>
                <w:szCs w:val="24"/>
                <w:lang w:val="el-GR" w:eastAsia="el-GR"/>
              </w:rPr>
              <w:t xml:space="preserve"> εταιρείας,</w:t>
            </w:r>
            <w:r w:rsidR="002D29F5" w:rsidRPr="002D29F5">
              <w:rPr>
                <w:lang w:val="el-GR"/>
              </w:rPr>
              <w:t xml:space="preserve"> το οποίο </w:t>
            </w:r>
            <w:r w:rsidR="002D29F5">
              <w:rPr>
                <w:lang w:val="el-GR"/>
              </w:rPr>
              <w:t xml:space="preserve">αναμένεται να συμβάλει </w:t>
            </w:r>
            <w:r w:rsidR="003542F7">
              <w:rPr>
                <w:lang w:val="el-GR"/>
              </w:rPr>
              <w:t>σ</w:t>
            </w:r>
            <w:r w:rsidR="003542F7">
              <w:rPr>
                <w:rFonts w:ascii="Calibri" w:hAnsi="Calibri" w:cs="Calibri"/>
                <w:lang w:val="el-GR"/>
              </w:rPr>
              <w:t>την ανάκαμψη των επενδύσεων και την  περαιτέρω ανάπτυξη των επιχειρήσεων.</w:t>
            </w:r>
          </w:p>
          <w:p w:rsidR="00F12752" w:rsidRPr="00BA62ED" w:rsidRDefault="00F12752" w:rsidP="0068281A">
            <w:pPr>
              <w:rPr>
                <w:rFonts w:ascii="Verdana" w:hAnsi="Verdana"/>
                <w:lang w:val="el-GR"/>
              </w:rPr>
            </w:pPr>
          </w:p>
        </w:tc>
        <w:tc>
          <w:tcPr>
            <w:tcW w:w="5940" w:type="dxa"/>
            <w:vAlign w:val="center"/>
          </w:tcPr>
          <w:p w:rsidR="00F12752" w:rsidRPr="00C73606" w:rsidRDefault="000E65FA" w:rsidP="0093277A">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EB26F7" w:rsidRPr="008544E2" w:rsidTr="0068281A">
        <w:tc>
          <w:tcPr>
            <w:tcW w:w="8118" w:type="dxa"/>
            <w:vAlign w:val="center"/>
          </w:tcPr>
          <w:p w:rsidR="00EB26F7" w:rsidRDefault="00EB26F7" w:rsidP="0068281A">
            <w:pPr>
              <w:rPr>
                <w:rFonts w:ascii="Calibri" w:eastAsia="Times New Roman" w:hAnsi="Calibri" w:cs="Times New Roman"/>
                <w:color w:val="000000"/>
                <w:sz w:val="24"/>
                <w:szCs w:val="24"/>
                <w:lang w:val="el-GR" w:eastAsia="el-GR"/>
              </w:rPr>
            </w:pPr>
            <w:r w:rsidRPr="00670B69">
              <w:rPr>
                <w:rFonts w:ascii="Calibri" w:eastAsia="Times New Roman" w:hAnsi="Calibri" w:cs="Times New Roman"/>
                <w:color w:val="000000"/>
                <w:sz w:val="24"/>
                <w:szCs w:val="24"/>
                <w:lang w:val="el-GR" w:eastAsia="el-GR"/>
              </w:rPr>
              <w:t>Κάθε εταιρεία δύναται να έχει</w:t>
            </w:r>
            <w:r w:rsidRPr="00670B69">
              <w:rPr>
                <w:rFonts w:ascii="Calibri" w:eastAsia="Times New Roman" w:hAnsi="Calibri" w:cs="Times New Roman"/>
                <w:b/>
                <w:bCs/>
                <w:color w:val="000000"/>
                <w:sz w:val="24"/>
                <w:szCs w:val="24"/>
                <w:lang w:val="el-GR" w:eastAsia="el-GR"/>
              </w:rPr>
              <w:t xml:space="preserve"> ένα γραμματέα διορισμένο</w:t>
            </w:r>
            <w:r w:rsidRPr="00670B69">
              <w:rPr>
                <w:rFonts w:ascii="Calibri" w:eastAsia="Times New Roman" w:hAnsi="Calibri" w:cs="Times New Roman"/>
                <w:color w:val="000000"/>
                <w:sz w:val="24"/>
                <w:szCs w:val="24"/>
                <w:lang w:val="el-GR" w:eastAsia="el-GR"/>
              </w:rPr>
              <w:t xml:space="preserve"> ανά πάση στιγμή. Συνεπώς, εταιρεία (συμπεριλαμβανομένης και της αλλοδαπής εταιρείας) δε δύναται να διορίζει πέραν του ενός γραμματέα ούτε δύναται να έχει γραμματείς από κοινού.</w:t>
            </w:r>
          </w:p>
          <w:p w:rsidR="00EB26F7" w:rsidRPr="00EC587F" w:rsidRDefault="00EB26F7" w:rsidP="0068281A">
            <w:pPr>
              <w:rPr>
                <w:rFonts w:ascii="Verdana" w:hAnsi="Verdana"/>
                <w:lang w:val="el-GR"/>
              </w:rPr>
            </w:pPr>
          </w:p>
        </w:tc>
        <w:tc>
          <w:tcPr>
            <w:tcW w:w="5940" w:type="dxa"/>
            <w:vAlign w:val="center"/>
          </w:tcPr>
          <w:p w:rsidR="00EB26F7" w:rsidRPr="00EC587F" w:rsidRDefault="000E65FA" w:rsidP="0093277A">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EB26F7" w:rsidRPr="008544E2" w:rsidTr="0068281A">
        <w:tc>
          <w:tcPr>
            <w:tcW w:w="8118" w:type="dxa"/>
            <w:vAlign w:val="center"/>
          </w:tcPr>
          <w:p w:rsidR="00D17847" w:rsidRDefault="00EB26F7" w:rsidP="0068281A">
            <w:pPr>
              <w:rPr>
                <w:rFonts w:ascii="Calibri" w:eastAsia="Times New Roman" w:hAnsi="Calibri" w:cs="Times New Roman"/>
                <w:color w:val="000000"/>
                <w:sz w:val="24"/>
                <w:szCs w:val="24"/>
                <w:lang w:val="el-GR" w:eastAsia="el-GR"/>
              </w:rPr>
            </w:pPr>
            <w:r w:rsidRPr="00670B69">
              <w:rPr>
                <w:rFonts w:ascii="Calibri" w:eastAsia="Times New Roman" w:hAnsi="Calibri" w:cs="Times New Roman"/>
                <w:color w:val="000000"/>
                <w:sz w:val="24"/>
                <w:szCs w:val="24"/>
                <w:lang w:val="el-GR" w:eastAsia="el-GR"/>
              </w:rPr>
              <w:t xml:space="preserve">Κατάργηση υποχρέωσης επισύναψης σύμβασης σε περίπτωση κατά την οποία η παραχώρηση μετοχών </w:t>
            </w:r>
            <w:r w:rsidRPr="00670B69">
              <w:rPr>
                <w:rFonts w:ascii="Calibri" w:eastAsia="Times New Roman" w:hAnsi="Calibri" w:cs="Times New Roman"/>
                <w:b/>
                <w:bCs/>
                <w:color w:val="000000"/>
                <w:sz w:val="24"/>
                <w:szCs w:val="24"/>
                <w:lang w:val="el-GR" w:eastAsia="el-GR"/>
              </w:rPr>
              <w:t>ιδιωτικής</w:t>
            </w:r>
            <w:r w:rsidRPr="00670B69">
              <w:rPr>
                <w:rFonts w:ascii="Calibri" w:eastAsia="Times New Roman" w:hAnsi="Calibri" w:cs="Times New Roman"/>
                <w:color w:val="000000"/>
                <w:sz w:val="24"/>
                <w:szCs w:val="24"/>
                <w:lang w:val="el-GR" w:eastAsia="el-GR"/>
              </w:rPr>
              <w:t xml:space="preserve"> εταιρείας γίνεται με πληρωμή μερικώς ή ολικώς σε είδος (ΗΕ12).</w:t>
            </w:r>
          </w:p>
          <w:p w:rsidR="00866B7B" w:rsidRDefault="00866B7B" w:rsidP="0068281A">
            <w:pPr>
              <w:rPr>
                <w:rFonts w:ascii="Calibri" w:eastAsia="Times New Roman" w:hAnsi="Calibri" w:cs="Times New Roman"/>
                <w:color w:val="000000"/>
                <w:sz w:val="24"/>
                <w:szCs w:val="24"/>
                <w:lang w:val="el-GR" w:eastAsia="el-GR"/>
              </w:rPr>
            </w:pPr>
          </w:p>
          <w:p w:rsidR="00866B7B" w:rsidRPr="00BD5969" w:rsidRDefault="00866B7B" w:rsidP="0068281A">
            <w:pPr>
              <w:rPr>
                <w:rFonts w:ascii="Calibri" w:eastAsia="Times New Roman" w:hAnsi="Calibri" w:cs="Times New Roman"/>
                <w:color w:val="000000"/>
                <w:sz w:val="24"/>
                <w:szCs w:val="24"/>
                <w:lang w:val="el-GR" w:eastAsia="el-GR"/>
              </w:rPr>
            </w:pPr>
          </w:p>
        </w:tc>
        <w:tc>
          <w:tcPr>
            <w:tcW w:w="5940" w:type="dxa"/>
            <w:vAlign w:val="center"/>
          </w:tcPr>
          <w:p w:rsidR="00EB26F7" w:rsidRPr="00EC587F" w:rsidRDefault="000E65FA" w:rsidP="0093277A">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EB26F7" w:rsidRPr="008544E2" w:rsidTr="0068281A">
        <w:tc>
          <w:tcPr>
            <w:tcW w:w="8118" w:type="dxa"/>
            <w:vAlign w:val="center"/>
          </w:tcPr>
          <w:p w:rsidR="00EB26F7" w:rsidRDefault="00EB26F7" w:rsidP="0068281A">
            <w:pPr>
              <w:rPr>
                <w:rFonts w:ascii="Calibri" w:eastAsia="Times New Roman" w:hAnsi="Calibri" w:cs="Times New Roman"/>
                <w:color w:val="000000"/>
                <w:sz w:val="24"/>
                <w:szCs w:val="24"/>
                <w:lang w:val="el-GR" w:eastAsia="el-GR"/>
              </w:rPr>
            </w:pPr>
            <w:r w:rsidRPr="00670B69">
              <w:rPr>
                <w:rFonts w:ascii="Calibri" w:eastAsia="Times New Roman" w:hAnsi="Calibri" w:cs="Times New Roman"/>
                <w:b/>
                <w:bCs/>
                <w:color w:val="000000"/>
                <w:sz w:val="24"/>
                <w:szCs w:val="24"/>
                <w:lang w:val="el-GR" w:eastAsia="el-GR"/>
              </w:rPr>
              <w:t xml:space="preserve">Κατάργηση υποχρέωσης επισύναψης </w:t>
            </w:r>
            <w:r w:rsidRPr="00670B69">
              <w:rPr>
                <w:rFonts w:ascii="Calibri" w:eastAsia="Times New Roman" w:hAnsi="Calibri" w:cs="Times New Roman"/>
                <w:color w:val="000000"/>
                <w:sz w:val="24"/>
                <w:szCs w:val="24"/>
                <w:lang w:val="el-GR" w:eastAsia="el-GR"/>
              </w:rPr>
              <w:t>στην ετήσια έκθεση εταιρείας που είναι τράπεζα καταλόγου των ονομάτων των διάφορων περιοχών που διεξάγει εργασία.</w:t>
            </w:r>
          </w:p>
          <w:p w:rsidR="00EB26F7" w:rsidRPr="00EC587F" w:rsidRDefault="00EB26F7" w:rsidP="0068281A">
            <w:pPr>
              <w:rPr>
                <w:rFonts w:ascii="Verdana" w:hAnsi="Verdana"/>
                <w:lang w:val="el-GR"/>
              </w:rPr>
            </w:pPr>
          </w:p>
        </w:tc>
        <w:tc>
          <w:tcPr>
            <w:tcW w:w="5940" w:type="dxa"/>
            <w:vAlign w:val="center"/>
          </w:tcPr>
          <w:p w:rsidR="00EB26F7" w:rsidRPr="00EC587F" w:rsidRDefault="000E65FA" w:rsidP="0093277A">
            <w:pPr>
              <w:jc w:val="center"/>
              <w:rPr>
                <w:rFonts w:ascii="Verdana" w:hAnsi="Verdana"/>
                <w:lang w:val="el-GR"/>
              </w:rPr>
            </w:pPr>
            <w:r>
              <w:rPr>
                <w:rFonts w:ascii="Calibri" w:hAnsi="Calibri"/>
                <w:color w:val="000000"/>
                <w:lang w:val="el-GR"/>
              </w:rPr>
              <w:lastRenderedPageBreak/>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68281A" w:rsidRPr="008544E2" w:rsidTr="0068281A">
        <w:tc>
          <w:tcPr>
            <w:tcW w:w="8118" w:type="dxa"/>
            <w:vAlign w:val="center"/>
          </w:tcPr>
          <w:p w:rsidR="0068281A" w:rsidRDefault="0068281A" w:rsidP="0068281A">
            <w:pPr>
              <w:rPr>
                <w:rFonts w:ascii="Calibri" w:eastAsia="Times New Roman" w:hAnsi="Calibri" w:cs="Times New Roman"/>
                <w:b/>
                <w:bCs/>
                <w:color w:val="000000"/>
                <w:sz w:val="24"/>
                <w:szCs w:val="24"/>
                <w:lang w:val="el-GR" w:eastAsia="el-GR"/>
              </w:rPr>
            </w:pPr>
            <w:r w:rsidRPr="00670B69">
              <w:rPr>
                <w:rFonts w:ascii="Calibri" w:eastAsia="Times New Roman" w:hAnsi="Calibri" w:cs="Times New Roman"/>
                <w:color w:val="000000"/>
                <w:sz w:val="24"/>
                <w:szCs w:val="24"/>
                <w:lang w:val="el-GR" w:eastAsia="el-GR"/>
              </w:rPr>
              <w:lastRenderedPageBreak/>
              <w:t xml:space="preserve">Εκχώρηση της εξουσίας </w:t>
            </w:r>
            <w:r w:rsidRPr="00670B69">
              <w:rPr>
                <w:rFonts w:ascii="Calibri" w:eastAsia="Times New Roman" w:hAnsi="Calibri" w:cs="Times New Roman"/>
                <w:b/>
                <w:bCs/>
                <w:color w:val="000000"/>
                <w:sz w:val="24"/>
                <w:szCs w:val="24"/>
                <w:lang w:val="el-GR" w:eastAsia="el-GR"/>
              </w:rPr>
              <w:t>παράλειψης/απάλειψης της λέξης λτδ στον Έφορο Εταιρειών (απάλειψη της εμπλοκής του ΥΕΕΒΤ στη διαδικασία).</w:t>
            </w:r>
          </w:p>
          <w:p w:rsidR="0068281A" w:rsidRPr="00670B69" w:rsidRDefault="0068281A" w:rsidP="0068281A">
            <w:pPr>
              <w:rPr>
                <w:rFonts w:ascii="Calibri" w:eastAsia="Times New Roman" w:hAnsi="Calibri" w:cs="Times New Roman"/>
                <w:b/>
                <w:bCs/>
                <w:color w:val="000000"/>
                <w:sz w:val="24"/>
                <w:szCs w:val="24"/>
                <w:lang w:val="el-GR" w:eastAsia="el-GR"/>
              </w:rPr>
            </w:pPr>
          </w:p>
        </w:tc>
        <w:tc>
          <w:tcPr>
            <w:tcW w:w="5940" w:type="dxa"/>
            <w:vAlign w:val="center"/>
          </w:tcPr>
          <w:p w:rsidR="0068281A" w:rsidRDefault="0068281A" w:rsidP="0093277A">
            <w:pPr>
              <w:jc w:val="center"/>
              <w:rPr>
                <w:rFonts w:ascii="Calibri" w:hAnsi="Calibri"/>
                <w:color w:val="000000"/>
                <w:lang w:val="el-GR"/>
              </w:rPr>
            </w:pPr>
            <w:r>
              <w:rPr>
                <w:rFonts w:ascii="Calibri" w:hAnsi="Calibri"/>
                <w:color w:val="000000"/>
                <w:lang w:val="el-GR"/>
              </w:rPr>
              <w:t xml:space="preserve">με την απόφαση του Υπουργικού Συμβουλίου στις </w:t>
            </w:r>
            <w:r w:rsidRPr="00F63287">
              <w:rPr>
                <w:rFonts w:ascii="Calibri" w:hAnsi="Calibri"/>
                <w:color w:val="000000"/>
                <w:lang w:val="el-GR"/>
              </w:rPr>
              <w:t>20 Ιουνίου 2018</w:t>
            </w:r>
          </w:p>
        </w:tc>
      </w:tr>
      <w:tr w:rsidR="0068281A" w:rsidRPr="008544E2" w:rsidTr="0068281A">
        <w:tc>
          <w:tcPr>
            <w:tcW w:w="8118" w:type="dxa"/>
            <w:vAlign w:val="center"/>
          </w:tcPr>
          <w:p w:rsidR="0068281A" w:rsidRDefault="0068281A" w:rsidP="0068281A">
            <w:pPr>
              <w:rPr>
                <w:rFonts w:ascii="Calibri" w:eastAsia="Times New Roman" w:hAnsi="Calibri" w:cs="Times New Roman"/>
                <w:color w:val="000000"/>
                <w:sz w:val="24"/>
                <w:szCs w:val="24"/>
                <w:lang w:val="el-GR" w:eastAsia="el-GR"/>
              </w:rPr>
            </w:pPr>
            <w:r w:rsidRPr="00670B69">
              <w:rPr>
                <w:rFonts w:ascii="Calibri" w:eastAsia="Times New Roman" w:hAnsi="Calibri" w:cs="Times New Roman"/>
                <w:color w:val="000000"/>
                <w:sz w:val="24"/>
                <w:szCs w:val="24"/>
                <w:lang w:val="el-GR" w:eastAsia="el-GR"/>
              </w:rPr>
              <w:t xml:space="preserve">Απλοποίηση της διαδικασίας </w:t>
            </w:r>
            <w:r w:rsidRPr="00670B69">
              <w:rPr>
                <w:rFonts w:ascii="Calibri" w:eastAsia="Times New Roman" w:hAnsi="Calibri" w:cs="Times New Roman"/>
                <w:b/>
                <w:bCs/>
                <w:color w:val="000000"/>
                <w:sz w:val="24"/>
                <w:szCs w:val="24"/>
                <w:lang w:val="el-GR" w:eastAsia="el-GR"/>
              </w:rPr>
              <w:t>καθορισμού των εντύπων διαμέσου διαμέσου διατάγματος Υπουργού</w:t>
            </w:r>
            <w:r w:rsidRPr="00670B69">
              <w:rPr>
                <w:rFonts w:ascii="Calibri" w:eastAsia="Times New Roman" w:hAnsi="Calibri" w:cs="Times New Roman"/>
                <w:color w:val="000000"/>
                <w:sz w:val="24"/>
                <w:szCs w:val="24"/>
                <w:lang w:val="el-GR" w:eastAsia="el-GR"/>
              </w:rPr>
              <w:t xml:space="preserve"> έναντι της δημιουργίας κανονισμών που κατατίθενται στη Βουλή των Αντιπροσώπων.</w:t>
            </w:r>
          </w:p>
          <w:p w:rsidR="0068281A" w:rsidRPr="00EC587F" w:rsidDel="00950F57" w:rsidRDefault="0068281A" w:rsidP="0068281A">
            <w:pPr>
              <w:rPr>
                <w:rFonts w:ascii="Verdana" w:hAnsi="Verdana"/>
                <w:lang w:val="el-GR"/>
              </w:rPr>
            </w:pPr>
          </w:p>
        </w:tc>
        <w:tc>
          <w:tcPr>
            <w:tcW w:w="5940" w:type="dxa"/>
            <w:vAlign w:val="center"/>
          </w:tcPr>
          <w:p w:rsidR="0068281A" w:rsidRPr="00EC587F" w:rsidRDefault="0068281A" w:rsidP="0093277A">
            <w:pPr>
              <w:jc w:val="center"/>
              <w:rPr>
                <w:rFonts w:ascii="Verdana" w:hAnsi="Verdana"/>
                <w:lang w:val="el-GR"/>
              </w:rPr>
            </w:pPr>
            <w:r>
              <w:rPr>
                <w:rFonts w:ascii="Calibri" w:hAnsi="Calibri"/>
                <w:color w:val="000000"/>
                <w:lang w:val="el-GR"/>
              </w:rPr>
              <w:t>δεκαπέντε (</w:t>
            </w:r>
            <w:r w:rsidRPr="00F12752">
              <w:rPr>
                <w:rFonts w:ascii="Calibri" w:hAnsi="Calibri"/>
                <w:color w:val="000000"/>
                <w:lang w:val="el-GR"/>
              </w:rPr>
              <w:t>15</w:t>
            </w:r>
            <w:r>
              <w:rPr>
                <w:rFonts w:ascii="Calibri" w:hAnsi="Calibri"/>
                <w:color w:val="000000"/>
                <w:lang w:val="el-GR"/>
              </w:rPr>
              <w:t>)</w:t>
            </w:r>
            <w:r w:rsidRPr="00F12752">
              <w:rPr>
                <w:rFonts w:ascii="Calibri" w:hAnsi="Calibri"/>
                <w:color w:val="000000"/>
                <w:lang w:val="el-GR"/>
              </w:rPr>
              <w:t xml:space="preserve"> ημέρες μετά τη δημοσίευση</w:t>
            </w:r>
            <w:r>
              <w:rPr>
                <w:rFonts w:ascii="Calibri" w:hAnsi="Calibri"/>
                <w:color w:val="000000"/>
                <w:lang w:val="el-GR"/>
              </w:rPr>
              <w:t xml:space="preserve"> </w:t>
            </w:r>
            <w:r w:rsidRPr="002A0D0B">
              <w:rPr>
                <w:rFonts w:ascii="Calibri" w:hAnsi="Calibri"/>
                <w:color w:val="000000"/>
                <w:lang w:val="el-GR"/>
              </w:rPr>
              <w:t>του νομοθετικού πακέτου στην Επίσημη Εφημερίδα (</w:t>
            </w:r>
            <w:r>
              <w:rPr>
                <w:rFonts w:ascii="Calibri" w:hAnsi="Calibri"/>
                <w:color w:val="000000"/>
                <w:lang w:val="el-GR"/>
              </w:rPr>
              <w:t>1</w:t>
            </w:r>
            <w:r w:rsidRPr="00F12752">
              <w:rPr>
                <w:rFonts w:ascii="Calibri" w:hAnsi="Calibri"/>
                <w:color w:val="000000"/>
                <w:lang w:val="el-GR"/>
              </w:rPr>
              <w:t>/1/201</w:t>
            </w:r>
            <w:r>
              <w:rPr>
                <w:rFonts w:ascii="Calibri" w:hAnsi="Calibri"/>
                <w:color w:val="000000"/>
                <w:lang w:val="el-GR"/>
              </w:rPr>
              <w:t>9</w:t>
            </w:r>
            <w:r w:rsidRPr="002A0D0B">
              <w:rPr>
                <w:rFonts w:ascii="Calibri" w:hAnsi="Calibri"/>
                <w:color w:val="000000"/>
                <w:lang w:val="el-GR"/>
              </w:rPr>
              <w:t>)</w:t>
            </w:r>
          </w:p>
        </w:tc>
      </w:tr>
    </w:tbl>
    <w:p w:rsidR="00044384" w:rsidRPr="00EC587F" w:rsidRDefault="00044384" w:rsidP="00044384">
      <w:pPr>
        <w:spacing w:after="0" w:line="240" w:lineRule="auto"/>
        <w:rPr>
          <w:rFonts w:ascii="Verdana" w:hAnsi="Verdana"/>
          <w:lang w:val="el-GR"/>
        </w:rPr>
      </w:pPr>
    </w:p>
    <w:p w:rsidR="001B2CE6" w:rsidRPr="00EC587F" w:rsidRDefault="001B2CE6" w:rsidP="00044384">
      <w:pPr>
        <w:spacing w:after="0" w:line="240" w:lineRule="auto"/>
        <w:jc w:val="center"/>
        <w:rPr>
          <w:rFonts w:ascii="Verdana" w:hAnsi="Verdana"/>
          <w:b/>
          <w:sz w:val="28"/>
          <w:szCs w:val="28"/>
          <w:lang w:val="el-GR"/>
        </w:rPr>
      </w:pPr>
    </w:p>
    <w:p w:rsidR="001B2CE6" w:rsidRPr="00EC587F" w:rsidRDefault="001B2CE6" w:rsidP="00044384">
      <w:pPr>
        <w:spacing w:after="0" w:line="240" w:lineRule="auto"/>
        <w:jc w:val="center"/>
        <w:rPr>
          <w:rFonts w:ascii="Verdana" w:hAnsi="Verdana"/>
          <w:b/>
          <w:sz w:val="28"/>
          <w:szCs w:val="28"/>
          <w:lang w:val="el-GR"/>
        </w:rPr>
      </w:pPr>
    </w:p>
    <w:p w:rsidR="00F1134C" w:rsidRPr="00EC587F" w:rsidRDefault="00F1134C" w:rsidP="00044384">
      <w:pPr>
        <w:spacing w:after="0" w:line="240" w:lineRule="auto"/>
        <w:jc w:val="center"/>
        <w:rPr>
          <w:rFonts w:ascii="Verdana" w:hAnsi="Verdana"/>
          <w:b/>
          <w:sz w:val="28"/>
          <w:szCs w:val="28"/>
          <w:lang w:val="el-GR"/>
        </w:rPr>
      </w:pPr>
    </w:p>
    <w:p w:rsidR="00F1134C" w:rsidRPr="00EC587F" w:rsidRDefault="00F1134C" w:rsidP="00044384">
      <w:pPr>
        <w:spacing w:after="0" w:line="240" w:lineRule="auto"/>
        <w:jc w:val="center"/>
        <w:rPr>
          <w:rFonts w:ascii="Verdana" w:hAnsi="Verdana"/>
          <w:b/>
          <w:sz w:val="28"/>
          <w:szCs w:val="28"/>
          <w:lang w:val="el-GR"/>
        </w:rPr>
      </w:pPr>
    </w:p>
    <w:p w:rsidR="00F1134C" w:rsidRPr="00EC587F" w:rsidRDefault="00F1134C" w:rsidP="00044384">
      <w:pPr>
        <w:spacing w:after="0" w:line="240" w:lineRule="auto"/>
        <w:jc w:val="center"/>
        <w:rPr>
          <w:rFonts w:ascii="Verdana" w:hAnsi="Verdana"/>
          <w:b/>
          <w:sz w:val="28"/>
          <w:szCs w:val="28"/>
          <w:lang w:val="el-GR"/>
        </w:rPr>
      </w:pPr>
    </w:p>
    <w:p w:rsidR="001B2CE6" w:rsidRPr="00F63287" w:rsidRDefault="001B2CE6"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BD5969" w:rsidRPr="00F63287" w:rsidRDefault="00BD5969" w:rsidP="00044384">
      <w:pPr>
        <w:spacing w:after="0" w:line="240" w:lineRule="auto"/>
        <w:jc w:val="center"/>
        <w:rPr>
          <w:rFonts w:ascii="Verdana" w:hAnsi="Verdana"/>
          <w:b/>
          <w:sz w:val="28"/>
          <w:szCs w:val="28"/>
          <w:lang w:val="el-GR"/>
        </w:rPr>
      </w:pPr>
    </w:p>
    <w:p w:rsidR="00545BAE" w:rsidRDefault="00BD5969" w:rsidP="00044384">
      <w:pPr>
        <w:spacing w:after="0" w:line="240" w:lineRule="auto"/>
        <w:jc w:val="center"/>
        <w:rPr>
          <w:rFonts w:ascii="Verdana" w:hAnsi="Verdana"/>
          <w:b/>
          <w:sz w:val="28"/>
          <w:szCs w:val="28"/>
          <w:lang w:val="el-GR"/>
        </w:rPr>
      </w:pPr>
      <w:r w:rsidRPr="00BD5969">
        <w:rPr>
          <w:rFonts w:ascii="Verdana" w:hAnsi="Verdana"/>
          <w:b/>
          <w:sz w:val="28"/>
          <w:szCs w:val="28"/>
          <w:lang w:val="el-GR"/>
        </w:rPr>
        <w:lastRenderedPageBreak/>
        <w:t>Διατήρηση επικαιροποιημένου μητρώου</w:t>
      </w:r>
    </w:p>
    <w:p w:rsidR="003E7E71" w:rsidRPr="00EC587F" w:rsidRDefault="003E7E71" w:rsidP="00044384">
      <w:pPr>
        <w:spacing w:after="0" w:line="240" w:lineRule="auto"/>
        <w:jc w:val="center"/>
        <w:rPr>
          <w:rFonts w:ascii="Verdana" w:hAnsi="Verdana"/>
          <w:lang w:val="el-GR"/>
        </w:rPr>
      </w:pPr>
    </w:p>
    <w:p w:rsidR="00044384" w:rsidRPr="00EC587F" w:rsidRDefault="00044384" w:rsidP="00044384">
      <w:pPr>
        <w:spacing w:after="0" w:line="240" w:lineRule="auto"/>
        <w:rPr>
          <w:rFonts w:ascii="Verdana" w:hAnsi="Verdana"/>
          <w:lang w:val="el-GR"/>
        </w:rPr>
      </w:pPr>
    </w:p>
    <w:tbl>
      <w:tblPr>
        <w:tblStyle w:val="TableGrid"/>
        <w:tblW w:w="13878" w:type="dxa"/>
        <w:tblLayout w:type="fixed"/>
        <w:tblLook w:val="04A0"/>
      </w:tblPr>
      <w:tblGrid>
        <w:gridCol w:w="9558"/>
        <w:gridCol w:w="4320"/>
      </w:tblGrid>
      <w:tr w:rsidR="00910D0C" w:rsidRPr="00EC587F" w:rsidTr="00E71015">
        <w:trPr>
          <w:trHeight w:val="651"/>
        </w:trPr>
        <w:tc>
          <w:tcPr>
            <w:tcW w:w="9558" w:type="dxa"/>
            <w:tcBorders>
              <w:bottom w:val="single" w:sz="4" w:space="0" w:color="auto"/>
            </w:tcBorders>
            <w:shd w:val="clear" w:color="auto" w:fill="BFBFBF" w:themeFill="background1" w:themeFillShade="BF"/>
          </w:tcPr>
          <w:p w:rsidR="00910D0C" w:rsidRPr="00EC587F" w:rsidRDefault="00910D0C" w:rsidP="003450FB">
            <w:pPr>
              <w:jc w:val="center"/>
              <w:rPr>
                <w:rFonts w:ascii="Verdana" w:hAnsi="Verdana"/>
                <w:b/>
                <w:lang w:val="el-GR"/>
              </w:rPr>
            </w:pPr>
            <w:r w:rsidRPr="00910D0C">
              <w:rPr>
                <w:rFonts w:ascii="Verdana" w:hAnsi="Verdana"/>
                <w:b/>
                <w:lang w:val="el-GR"/>
              </w:rPr>
              <w:t>Νομοθετική μεταρρύθμιση</w:t>
            </w:r>
          </w:p>
        </w:tc>
        <w:tc>
          <w:tcPr>
            <w:tcW w:w="4320" w:type="dxa"/>
            <w:tcBorders>
              <w:bottom w:val="single" w:sz="4" w:space="0" w:color="auto"/>
            </w:tcBorders>
            <w:shd w:val="clear" w:color="auto" w:fill="BFBFBF" w:themeFill="background1" w:themeFillShade="BF"/>
          </w:tcPr>
          <w:p w:rsidR="00910D0C" w:rsidRPr="00EC587F" w:rsidRDefault="00910D0C" w:rsidP="003450FB">
            <w:pPr>
              <w:jc w:val="center"/>
              <w:rPr>
                <w:rFonts w:ascii="Verdana" w:hAnsi="Verdana"/>
                <w:b/>
                <w:lang w:val="el-GR"/>
              </w:rPr>
            </w:pPr>
            <w:r w:rsidRPr="00910D0C">
              <w:rPr>
                <w:rFonts w:ascii="Verdana" w:hAnsi="Verdana"/>
                <w:b/>
                <w:lang w:val="el-GR"/>
              </w:rPr>
              <w:t>Χρονικός ορίζοντας εφαρμογής</w:t>
            </w:r>
          </w:p>
        </w:tc>
      </w:tr>
      <w:tr w:rsidR="00C73606" w:rsidRPr="008544E2" w:rsidTr="00B12FD2">
        <w:trPr>
          <w:trHeight w:val="335"/>
        </w:trPr>
        <w:tc>
          <w:tcPr>
            <w:tcW w:w="9558" w:type="dxa"/>
            <w:vAlign w:val="center"/>
          </w:tcPr>
          <w:p w:rsidR="003E7E71" w:rsidRDefault="003E7E71" w:rsidP="00B12FD2">
            <w:pPr>
              <w:rPr>
                <w:rFonts w:ascii="Calibri" w:eastAsia="Times New Roman" w:hAnsi="Calibri" w:cs="Times New Roman"/>
                <w:color w:val="000000"/>
                <w:sz w:val="24"/>
                <w:szCs w:val="24"/>
                <w:lang w:val="el-GR" w:eastAsia="el-GR"/>
              </w:rPr>
            </w:pPr>
          </w:p>
          <w:p w:rsidR="00C73606" w:rsidRDefault="00C73606" w:rsidP="00B12FD2">
            <w:pPr>
              <w:rPr>
                <w:rFonts w:ascii="Calibri" w:eastAsia="Times New Roman" w:hAnsi="Calibri" w:cs="Times New Roman"/>
                <w:color w:val="000000"/>
                <w:sz w:val="24"/>
                <w:szCs w:val="24"/>
                <w:lang w:val="el-GR" w:eastAsia="el-GR"/>
              </w:rPr>
            </w:pPr>
            <w:r w:rsidRPr="00604387">
              <w:rPr>
                <w:rFonts w:ascii="Calibri" w:eastAsia="Times New Roman" w:hAnsi="Calibri" w:cs="Times New Roman"/>
                <w:color w:val="000000"/>
                <w:sz w:val="24"/>
                <w:szCs w:val="24"/>
                <w:lang w:val="el-GR" w:eastAsia="el-GR"/>
              </w:rPr>
              <w:t xml:space="preserve">Εισαγωγή της </w:t>
            </w:r>
            <w:r w:rsidRPr="00604387">
              <w:rPr>
                <w:rFonts w:ascii="Calibri" w:eastAsia="Times New Roman" w:hAnsi="Calibri" w:cs="Times New Roman"/>
                <w:b/>
                <w:bCs/>
                <w:color w:val="000000"/>
                <w:sz w:val="24"/>
                <w:szCs w:val="24"/>
                <w:lang w:val="el-GR" w:eastAsia="el-GR"/>
              </w:rPr>
              <w:t>εξουσίας προς τον Έφορο Εταιρειών να διαγράφει</w:t>
            </w:r>
            <w:r w:rsidRPr="00604387">
              <w:rPr>
                <w:rFonts w:ascii="Calibri" w:eastAsia="Times New Roman" w:hAnsi="Calibri" w:cs="Times New Roman"/>
                <w:color w:val="000000"/>
                <w:sz w:val="24"/>
                <w:szCs w:val="24"/>
                <w:lang w:val="el-GR" w:eastAsia="el-GR"/>
              </w:rPr>
              <w:t xml:space="preserve"> από το Μητρώο συνεταιρισμό ή εμπορική επωνυμία που παραλείπει να υποβάλλει τα απαιτούμενα με τον Νόμο έγγραφα μετά από 6 μήνες που του στάλθηκε ειδοποίηση προς συμμόρφωση. </w:t>
            </w:r>
          </w:p>
          <w:p w:rsidR="00C73606" w:rsidRPr="00EC587F" w:rsidRDefault="00C73606" w:rsidP="00B12FD2">
            <w:pPr>
              <w:rPr>
                <w:rFonts w:ascii="Verdana" w:hAnsi="Verdana"/>
                <w:lang w:val="el-GR"/>
              </w:rPr>
            </w:pPr>
          </w:p>
        </w:tc>
        <w:tc>
          <w:tcPr>
            <w:tcW w:w="4320" w:type="dxa"/>
            <w:vAlign w:val="center"/>
          </w:tcPr>
          <w:p w:rsidR="00C73606" w:rsidRPr="00EC587F" w:rsidRDefault="000E177D" w:rsidP="00B12FD2">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C73606" w:rsidRPr="008544E2" w:rsidTr="00B12FD2">
        <w:trPr>
          <w:trHeight w:val="335"/>
        </w:trPr>
        <w:tc>
          <w:tcPr>
            <w:tcW w:w="9558" w:type="dxa"/>
            <w:vAlign w:val="center"/>
          </w:tcPr>
          <w:p w:rsidR="00C73606" w:rsidRDefault="00C73606" w:rsidP="00B12FD2">
            <w:pPr>
              <w:rPr>
                <w:rFonts w:ascii="Calibri" w:eastAsia="Times New Roman" w:hAnsi="Calibri" w:cs="Times New Roman"/>
                <w:color w:val="000000"/>
                <w:sz w:val="24"/>
                <w:szCs w:val="24"/>
                <w:lang w:val="el-GR" w:eastAsia="el-GR"/>
              </w:rPr>
            </w:pPr>
            <w:r w:rsidRPr="00604387">
              <w:rPr>
                <w:rFonts w:ascii="Calibri" w:eastAsia="Times New Roman" w:hAnsi="Calibri" w:cs="Times New Roman"/>
                <w:color w:val="000000"/>
                <w:sz w:val="24"/>
                <w:szCs w:val="24"/>
                <w:lang w:val="el-GR" w:eastAsia="el-GR"/>
              </w:rPr>
              <w:t xml:space="preserve">Εισαγωγή πρόνοιας για τη </w:t>
            </w:r>
            <w:r w:rsidRPr="00C46B43">
              <w:rPr>
                <w:rFonts w:ascii="Calibri" w:eastAsia="Times New Roman" w:hAnsi="Calibri" w:cs="Times New Roman"/>
                <w:b/>
                <w:color w:val="000000"/>
                <w:sz w:val="24"/>
                <w:szCs w:val="24"/>
                <w:lang w:val="el-GR" w:eastAsia="el-GR"/>
              </w:rPr>
              <w:t>δυνατότητα του Δικαστηρίου</w:t>
            </w:r>
            <w:r w:rsidRPr="00604387">
              <w:rPr>
                <w:rFonts w:ascii="Calibri" w:eastAsia="Times New Roman" w:hAnsi="Calibri" w:cs="Times New Roman"/>
                <w:color w:val="000000"/>
                <w:sz w:val="24"/>
                <w:szCs w:val="24"/>
                <w:lang w:val="el-GR" w:eastAsia="el-GR"/>
              </w:rPr>
              <w:t xml:space="preserve"> να δώσει </w:t>
            </w:r>
            <w:r w:rsidRPr="00C46B43">
              <w:rPr>
                <w:rFonts w:ascii="Calibri" w:eastAsia="Times New Roman" w:hAnsi="Calibri" w:cs="Times New Roman"/>
                <w:b/>
                <w:color w:val="000000"/>
                <w:sz w:val="24"/>
                <w:szCs w:val="24"/>
                <w:lang w:val="el-GR" w:eastAsia="el-GR"/>
              </w:rPr>
              <w:t>οδηγίες για επικαιροποίηση του μητρώου</w:t>
            </w:r>
            <w:r w:rsidRPr="00604387">
              <w:rPr>
                <w:rFonts w:ascii="Calibri" w:eastAsia="Times New Roman" w:hAnsi="Calibri" w:cs="Times New Roman"/>
                <w:color w:val="000000"/>
                <w:sz w:val="24"/>
                <w:szCs w:val="24"/>
                <w:lang w:val="el-GR" w:eastAsia="el-GR"/>
              </w:rPr>
              <w:t xml:space="preserve"> το οποίο τηρείται από τον Έφορο Εταιρειών, καταβολή των οφειλόμενων τελών της εταιρείας προς τον Έφορο Εταιρειών και την  καταβολή των εξόδων του εφόρου σχετικά με τη διαδικασία αποκατάστασης της εταιρείας στο μητρώο, κατά την έκδοση διατάγματος για επαναφορά της εταιρείας στο μητρώο του Εφόρου Εταιρειών. </w:t>
            </w:r>
          </w:p>
          <w:p w:rsidR="00C73606" w:rsidRPr="00EC587F" w:rsidRDefault="00C73606" w:rsidP="00B12FD2">
            <w:pPr>
              <w:rPr>
                <w:rFonts w:ascii="Verdana" w:hAnsi="Verdana"/>
                <w:lang w:val="el-GR"/>
              </w:rPr>
            </w:pPr>
          </w:p>
        </w:tc>
        <w:tc>
          <w:tcPr>
            <w:tcW w:w="4320" w:type="dxa"/>
            <w:vAlign w:val="center"/>
          </w:tcPr>
          <w:p w:rsidR="00C73606" w:rsidRPr="00EC587F" w:rsidRDefault="000E177D" w:rsidP="00B12FD2">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(18</w:t>
            </w:r>
            <w:r w:rsidRPr="00F12752">
              <w:rPr>
                <w:rFonts w:ascii="Calibri" w:hAnsi="Calibri"/>
                <w:color w:val="000000"/>
                <w:lang w:val="el-GR"/>
              </w:rPr>
              <w:t>/12/2018</w:t>
            </w:r>
            <w:r>
              <w:rPr>
                <w:rFonts w:ascii="Calibri" w:hAnsi="Calibri"/>
                <w:color w:val="000000"/>
                <w:lang w:val="el-GR"/>
              </w:rPr>
              <w:t>)</w:t>
            </w:r>
          </w:p>
        </w:tc>
      </w:tr>
      <w:tr w:rsidR="00C73606" w:rsidRPr="008544E2" w:rsidTr="00B12FD2">
        <w:trPr>
          <w:trHeight w:val="335"/>
        </w:trPr>
        <w:tc>
          <w:tcPr>
            <w:tcW w:w="9558" w:type="dxa"/>
            <w:vAlign w:val="center"/>
          </w:tcPr>
          <w:p w:rsidR="00C73606" w:rsidRDefault="00C73606" w:rsidP="00B12FD2">
            <w:pPr>
              <w:rPr>
                <w:rFonts w:ascii="Calibri" w:eastAsia="Times New Roman" w:hAnsi="Calibri" w:cs="Times New Roman"/>
                <w:color w:val="000000"/>
                <w:sz w:val="24"/>
                <w:szCs w:val="24"/>
                <w:lang w:val="el-GR" w:eastAsia="el-GR"/>
              </w:rPr>
            </w:pPr>
            <w:r w:rsidRPr="00604387">
              <w:rPr>
                <w:rFonts w:ascii="Times New Roman" w:eastAsia="Times New Roman" w:hAnsi="Times New Roman" w:cs="Times New Roman"/>
                <w:color w:val="000000"/>
                <w:sz w:val="14"/>
                <w:szCs w:val="14"/>
                <w:lang w:val="el-GR" w:eastAsia="el-GR"/>
              </w:rPr>
              <w:t xml:space="preserve"> </w:t>
            </w:r>
            <w:r w:rsidRPr="00604387">
              <w:rPr>
                <w:rFonts w:ascii="Calibri" w:eastAsia="Times New Roman" w:hAnsi="Calibri" w:cs="Times New Roman"/>
                <w:b/>
                <w:bCs/>
                <w:color w:val="000000"/>
                <w:sz w:val="24"/>
                <w:szCs w:val="24"/>
                <w:lang w:val="el-GR" w:eastAsia="el-GR"/>
              </w:rPr>
              <w:t>Επαναφορά</w:t>
            </w:r>
            <w:r w:rsidRPr="00604387">
              <w:rPr>
                <w:rFonts w:ascii="Calibri" w:eastAsia="Times New Roman" w:hAnsi="Calibri" w:cs="Times New Roman"/>
                <w:color w:val="000000"/>
                <w:sz w:val="24"/>
                <w:szCs w:val="24"/>
                <w:lang w:val="el-GR" w:eastAsia="el-GR"/>
              </w:rPr>
              <w:t xml:space="preserve"> της εταιρείας μέσω διατάγματος δικαστηρίου από «</w:t>
            </w:r>
            <w:r w:rsidRPr="00604387">
              <w:rPr>
                <w:rFonts w:ascii="Calibri" w:eastAsia="Times New Roman" w:hAnsi="Calibri" w:cs="Times New Roman"/>
                <w:b/>
                <w:bCs/>
                <w:color w:val="000000"/>
                <w:sz w:val="24"/>
                <w:szCs w:val="24"/>
                <w:lang w:val="el-GR" w:eastAsia="el-GR"/>
              </w:rPr>
              <w:t>οποιονδήποτε που έχει υποστεί ζημιά»</w:t>
            </w:r>
            <w:r w:rsidRPr="00604387">
              <w:rPr>
                <w:rFonts w:ascii="Calibri" w:eastAsia="Times New Roman" w:hAnsi="Calibri" w:cs="Times New Roman"/>
                <w:color w:val="000000"/>
                <w:sz w:val="24"/>
                <w:szCs w:val="24"/>
                <w:lang w:val="el-GR" w:eastAsia="el-GR"/>
              </w:rPr>
              <w:t xml:space="preserve"> από τις πράξεις της εταιρείας πριν τη διαγραφή </w:t>
            </w:r>
            <w:r>
              <w:rPr>
                <w:rFonts w:ascii="Calibri" w:eastAsia="Times New Roman" w:hAnsi="Calibri" w:cs="Times New Roman"/>
                <w:color w:val="000000"/>
                <w:sz w:val="24"/>
                <w:szCs w:val="24"/>
                <w:lang w:val="el-GR" w:eastAsia="el-GR"/>
              </w:rPr>
              <w:t>της.</w:t>
            </w:r>
          </w:p>
          <w:p w:rsidR="00C73606" w:rsidRPr="00EC587F" w:rsidRDefault="00C73606" w:rsidP="00B12FD2">
            <w:pPr>
              <w:rPr>
                <w:rFonts w:ascii="Verdana" w:hAnsi="Verdana"/>
                <w:lang w:val="el-GR"/>
              </w:rPr>
            </w:pPr>
          </w:p>
        </w:tc>
        <w:tc>
          <w:tcPr>
            <w:tcW w:w="4320" w:type="dxa"/>
            <w:vAlign w:val="center"/>
          </w:tcPr>
          <w:p w:rsidR="00C73606" w:rsidRPr="00EC587F" w:rsidRDefault="000E177D" w:rsidP="00B12FD2">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( 18</w:t>
            </w:r>
            <w:r w:rsidRPr="00F12752">
              <w:rPr>
                <w:rFonts w:ascii="Calibri" w:hAnsi="Calibri"/>
                <w:color w:val="000000"/>
                <w:lang w:val="el-GR"/>
              </w:rPr>
              <w:t>/12/2018</w:t>
            </w:r>
            <w:r>
              <w:rPr>
                <w:rFonts w:ascii="Calibri" w:hAnsi="Calibri"/>
                <w:color w:val="000000"/>
                <w:lang w:val="el-GR"/>
              </w:rPr>
              <w:t>)</w:t>
            </w:r>
          </w:p>
        </w:tc>
      </w:tr>
      <w:tr w:rsidR="00C73606" w:rsidRPr="008544E2" w:rsidTr="00B12FD2">
        <w:trPr>
          <w:trHeight w:val="335"/>
        </w:trPr>
        <w:tc>
          <w:tcPr>
            <w:tcW w:w="9558" w:type="dxa"/>
            <w:vAlign w:val="center"/>
          </w:tcPr>
          <w:p w:rsidR="00C73606" w:rsidRDefault="00C73606" w:rsidP="00B12FD2">
            <w:pPr>
              <w:rPr>
                <w:rFonts w:ascii="Calibri" w:eastAsia="Times New Roman" w:hAnsi="Calibri" w:cs="Times New Roman"/>
                <w:color w:val="000000"/>
                <w:sz w:val="24"/>
                <w:szCs w:val="24"/>
                <w:lang w:val="el-GR" w:eastAsia="el-GR"/>
              </w:rPr>
            </w:pPr>
            <w:r w:rsidRPr="00B12FD2">
              <w:rPr>
                <w:rFonts w:ascii="Calibri" w:eastAsia="Times New Roman" w:hAnsi="Calibri" w:cs="Times New Roman"/>
                <w:b/>
                <w:color w:val="000000"/>
                <w:sz w:val="24"/>
                <w:szCs w:val="24"/>
                <w:lang w:val="el-GR" w:eastAsia="el-GR"/>
              </w:rPr>
              <w:t>Διαγραφή εταιρείας κατόπιν αίτησης συμβούλων</w:t>
            </w:r>
            <w:r w:rsidRPr="00604387">
              <w:rPr>
                <w:rFonts w:ascii="Calibri" w:eastAsia="Times New Roman" w:hAnsi="Calibri" w:cs="Times New Roman"/>
                <w:color w:val="000000"/>
                <w:sz w:val="24"/>
                <w:szCs w:val="24"/>
                <w:lang w:val="el-GR" w:eastAsia="el-GR"/>
              </w:rPr>
              <w:t xml:space="preserve"> μόνο σε περίπτωση που η εταιρεία έχει εκπληρώσει τις υποχρεώσεις της οι οποίες προκύπτουν από τον περί Εταιρειών Νόμο.</w:t>
            </w:r>
          </w:p>
          <w:p w:rsidR="00C73606" w:rsidRPr="00EC587F" w:rsidRDefault="00C73606" w:rsidP="00B12FD2">
            <w:pPr>
              <w:rPr>
                <w:rFonts w:ascii="Verdana" w:hAnsi="Verdana"/>
                <w:lang w:val="el-GR"/>
              </w:rPr>
            </w:pPr>
          </w:p>
        </w:tc>
        <w:tc>
          <w:tcPr>
            <w:tcW w:w="4320" w:type="dxa"/>
            <w:vAlign w:val="center"/>
          </w:tcPr>
          <w:p w:rsidR="00C73606" w:rsidRPr="00EC587F" w:rsidRDefault="000E177D" w:rsidP="00B12FD2">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(18</w:t>
            </w:r>
            <w:r w:rsidRPr="00F12752">
              <w:rPr>
                <w:rFonts w:ascii="Calibri" w:hAnsi="Calibri"/>
                <w:color w:val="000000"/>
                <w:lang w:val="el-GR"/>
              </w:rPr>
              <w:t>/12/2018</w:t>
            </w:r>
            <w:r>
              <w:rPr>
                <w:rFonts w:ascii="Calibri" w:hAnsi="Calibri"/>
                <w:color w:val="000000"/>
                <w:lang w:val="el-GR"/>
              </w:rPr>
              <w:t>)</w:t>
            </w:r>
          </w:p>
        </w:tc>
      </w:tr>
      <w:tr w:rsidR="00C73606" w:rsidRPr="008544E2" w:rsidTr="00B12FD2">
        <w:trPr>
          <w:trHeight w:val="335"/>
        </w:trPr>
        <w:tc>
          <w:tcPr>
            <w:tcW w:w="9558" w:type="dxa"/>
            <w:vAlign w:val="center"/>
          </w:tcPr>
          <w:p w:rsidR="00C73606" w:rsidRDefault="00C73606" w:rsidP="00B12FD2">
            <w:pPr>
              <w:rPr>
                <w:rFonts w:ascii="Calibri" w:eastAsia="Times New Roman" w:hAnsi="Calibri" w:cs="Times New Roman"/>
                <w:color w:val="000000"/>
                <w:sz w:val="24"/>
                <w:szCs w:val="24"/>
                <w:lang w:val="el-GR" w:eastAsia="el-GR"/>
              </w:rPr>
            </w:pPr>
            <w:r w:rsidRPr="00604387">
              <w:rPr>
                <w:rFonts w:ascii="Calibri" w:eastAsia="Times New Roman" w:hAnsi="Calibri" w:cs="Times New Roman"/>
                <w:color w:val="000000"/>
                <w:sz w:val="24"/>
                <w:szCs w:val="24"/>
                <w:lang w:val="el-GR" w:eastAsia="el-GR"/>
              </w:rPr>
              <w:t xml:space="preserve">Καθορισμός της </w:t>
            </w:r>
            <w:r w:rsidRPr="00604387">
              <w:rPr>
                <w:rFonts w:ascii="Calibri" w:eastAsia="Times New Roman" w:hAnsi="Calibri" w:cs="Times New Roman"/>
                <w:b/>
                <w:bCs/>
                <w:color w:val="000000"/>
                <w:sz w:val="24"/>
                <w:szCs w:val="24"/>
                <w:lang w:val="el-GR" w:eastAsia="el-GR"/>
              </w:rPr>
              <w:t>προθεσμίας</w:t>
            </w:r>
            <w:r w:rsidRPr="00604387">
              <w:rPr>
                <w:rFonts w:ascii="Calibri" w:eastAsia="Times New Roman" w:hAnsi="Calibri" w:cs="Times New Roman"/>
                <w:color w:val="000000"/>
                <w:sz w:val="24"/>
                <w:szCs w:val="24"/>
                <w:lang w:val="el-GR" w:eastAsia="el-GR"/>
              </w:rPr>
              <w:t xml:space="preserve"> εντός της οποίας θα υποβάλλονται οι </w:t>
            </w:r>
            <w:r w:rsidRPr="00B12FD2">
              <w:rPr>
                <w:rFonts w:ascii="Calibri" w:eastAsia="Times New Roman" w:hAnsi="Calibri" w:cs="Times New Roman"/>
                <w:b/>
                <w:color w:val="000000"/>
                <w:sz w:val="24"/>
                <w:szCs w:val="24"/>
                <w:lang w:val="el-GR" w:eastAsia="el-GR"/>
              </w:rPr>
              <w:t>αλλαγές</w:t>
            </w:r>
            <w:r w:rsidRPr="00604387">
              <w:rPr>
                <w:rFonts w:ascii="Calibri" w:eastAsia="Times New Roman" w:hAnsi="Calibri" w:cs="Times New Roman"/>
                <w:color w:val="000000"/>
                <w:sz w:val="24"/>
                <w:szCs w:val="24"/>
                <w:lang w:val="el-GR" w:eastAsia="el-GR"/>
              </w:rPr>
              <w:t xml:space="preserve"> στην περίπτωση </w:t>
            </w:r>
            <w:r w:rsidRPr="00B12FD2">
              <w:rPr>
                <w:rFonts w:ascii="Calibri" w:eastAsia="Times New Roman" w:hAnsi="Calibri" w:cs="Times New Roman"/>
                <w:b/>
                <w:color w:val="000000"/>
                <w:sz w:val="24"/>
                <w:szCs w:val="24"/>
                <w:lang w:val="el-GR" w:eastAsia="el-GR"/>
              </w:rPr>
              <w:t xml:space="preserve">αλλοδαπών </w:t>
            </w:r>
            <w:r w:rsidR="00F707CA" w:rsidRPr="00B12FD2">
              <w:rPr>
                <w:rFonts w:ascii="Calibri" w:eastAsia="Times New Roman" w:hAnsi="Calibri" w:cs="Times New Roman"/>
                <w:b/>
                <w:color w:val="000000"/>
                <w:sz w:val="24"/>
                <w:szCs w:val="24"/>
                <w:lang w:val="el-GR" w:eastAsia="el-GR"/>
              </w:rPr>
              <w:t>εταιρειών</w:t>
            </w:r>
            <w:r w:rsidRPr="00604387">
              <w:rPr>
                <w:rFonts w:ascii="Calibri" w:eastAsia="Times New Roman" w:hAnsi="Calibri" w:cs="Times New Roman"/>
                <w:color w:val="000000"/>
                <w:sz w:val="24"/>
                <w:szCs w:val="24"/>
                <w:lang w:val="el-GR" w:eastAsia="el-GR"/>
              </w:rPr>
              <w:t xml:space="preserve"> (15 ημέρες) και αφορά αλλαγές σε ιδρυτικό ή καταστατικό έγγραφο, συμβούλους ή γραμματέα, διεύθυνση τόπου εργασίας, στοιχεία προσώπων που εκπροσωπούν την εταιρεία ή/και αποδέχονται επίδοση. </w:t>
            </w:r>
          </w:p>
          <w:p w:rsidR="00C73606" w:rsidRPr="00EC587F" w:rsidRDefault="00C73606" w:rsidP="00B12FD2">
            <w:pPr>
              <w:rPr>
                <w:rFonts w:ascii="Verdana" w:hAnsi="Verdana"/>
                <w:lang w:val="el-GR"/>
              </w:rPr>
            </w:pPr>
          </w:p>
        </w:tc>
        <w:tc>
          <w:tcPr>
            <w:tcW w:w="4320" w:type="dxa"/>
            <w:vAlign w:val="center"/>
          </w:tcPr>
          <w:p w:rsidR="00C73606" w:rsidRPr="00EC587F" w:rsidRDefault="000E177D" w:rsidP="00B12FD2">
            <w:pPr>
              <w:jc w:val="center"/>
              <w:rPr>
                <w:rFonts w:ascii="Verdana" w:hAnsi="Verdana"/>
                <w:lang w:val="el-GR"/>
              </w:rPr>
            </w:pPr>
            <w:r>
              <w:rPr>
                <w:rFonts w:ascii="Calibri" w:hAnsi="Calibri"/>
                <w:color w:val="000000"/>
                <w:lang w:val="el-GR"/>
              </w:rPr>
              <w:t>με τη δημοσίευση του νομοθετικού πακέτου στην Επίσημη Εφημερίδα (18</w:t>
            </w:r>
            <w:r w:rsidRPr="00F12752">
              <w:rPr>
                <w:rFonts w:ascii="Calibri" w:hAnsi="Calibri"/>
                <w:color w:val="000000"/>
                <w:lang w:val="el-GR"/>
              </w:rPr>
              <w:t>/12/2018</w:t>
            </w:r>
            <w:r>
              <w:rPr>
                <w:rFonts w:ascii="Calibri" w:hAnsi="Calibri"/>
                <w:color w:val="000000"/>
                <w:lang w:val="el-GR"/>
              </w:rPr>
              <w:t>)</w:t>
            </w:r>
          </w:p>
        </w:tc>
      </w:tr>
    </w:tbl>
    <w:p w:rsidR="00F427AD" w:rsidRPr="00ED53C1" w:rsidRDefault="00F427AD" w:rsidP="005C7593">
      <w:pPr>
        <w:spacing w:after="0" w:line="240" w:lineRule="auto"/>
        <w:rPr>
          <w:rFonts w:ascii="Verdana" w:hAnsi="Verdana"/>
          <w:lang w:val="el-GR"/>
        </w:rPr>
      </w:pPr>
    </w:p>
    <w:sectPr w:rsidR="00F427AD" w:rsidRPr="00ED53C1" w:rsidSect="00F91349">
      <w:headerReference w:type="default" r:id="rId8"/>
      <w:pgSz w:w="16839" w:h="11907" w:orient="landscape" w:code="9"/>
      <w:pgMar w:top="1440" w:right="1080" w:bottom="144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22" w:rsidRDefault="00480622" w:rsidP="0082729D">
      <w:pPr>
        <w:spacing w:after="0" w:line="240" w:lineRule="auto"/>
      </w:pPr>
      <w:r>
        <w:separator/>
      </w:r>
    </w:p>
  </w:endnote>
  <w:endnote w:type="continuationSeparator" w:id="0">
    <w:p w:rsidR="00480622" w:rsidRDefault="00480622" w:rsidP="0082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altName w:val="Calibri"/>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22" w:rsidRDefault="00480622" w:rsidP="0082729D">
      <w:pPr>
        <w:spacing w:after="0" w:line="240" w:lineRule="auto"/>
      </w:pPr>
      <w:r>
        <w:separator/>
      </w:r>
    </w:p>
  </w:footnote>
  <w:footnote w:type="continuationSeparator" w:id="0">
    <w:p w:rsidR="00480622" w:rsidRDefault="00480622" w:rsidP="0082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77D" w:rsidRPr="0082729D" w:rsidRDefault="00BF2423">
    <w:pPr>
      <w:pStyle w:val="Header"/>
      <w:ind w:right="-576"/>
      <w:jc w:val="right"/>
      <w:rPr>
        <w:rFonts w:asciiTheme="majorHAnsi" w:eastAsiaTheme="majorEastAsia" w:hAnsiTheme="majorHAnsi" w:cstheme="majorBidi"/>
        <w:b/>
        <w:sz w:val="32"/>
        <w:szCs w:val="32"/>
      </w:rPr>
    </w:pPr>
    <w:r w:rsidRPr="00BF2423">
      <w:rPr>
        <w:rFonts w:asciiTheme="majorHAnsi" w:eastAsiaTheme="majorEastAsia" w:hAnsiTheme="majorHAnsi" w:cstheme="majorBidi"/>
        <w:noProof/>
        <w:sz w:val="28"/>
        <w:szCs w:val="28"/>
        <w:lang w:val="el-GR" w:eastAsia="el-GR"/>
      </w:rPr>
      <w:pict>
        <v:shapetype id="_x0000_t202" coordsize="21600,21600" o:spt="202" path="m,l,21600r21600,l21600,xe">
          <v:stroke joinstyle="miter"/>
          <v:path gradientshapeok="t" o:connecttype="rect"/>
        </v:shapetype>
        <v:shape id="Text Box 464" o:spid="_x0000_s2049" type="#_x0000_t202" style="position:absolute;left:0;text-align:left;margin-left:0;margin-top:0;width:36pt;height:36pt;z-index:251659264;visibility:visible;mso-position-horizontal:left;mso-position-horizontal-relative:right-margin-area;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0E177D" w:rsidRDefault="00BF2423">
                <w:pPr>
                  <w:pStyle w:val="NoSpacing"/>
                  <w:pBdr>
                    <w:top w:val="single" w:sz="24" w:space="8" w:color="A5A5A5" w:themeColor="accent3"/>
                    <w:bottom w:val="single" w:sz="24" w:space="8" w:color="A5A5A5" w:themeColor="accent3"/>
                  </w:pBdr>
                  <w:jc w:val="center"/>
                  <w:rPr>
                    <w:rFonts w:asciiTheme="majorHAnsi" w:eastAsiaTheme="majorEastAsia" w:hAnsiTheme="majorHAnsi" w:cstheme="majorBidi"/>
                    <w:sz w:val="28"/>
                    <w:szCs w:val="28"/>
                  </w:rPr>
                </w:pPr>
                <w:r w:rsidRPr="00BF2423">
                  <w:fldChar w:fldCharType="begin"/>
                </w:r>
                <w:r w:rsidR="000E177D">
                  <w:instrText xml:space="preserve"> PAGE   \* MERGEFORMAT </w:instrText>
                </w:r>
                <w:r w:rsidRPr="00BF2423">
                  <w:fldChar w:fldCharType="separate"/>
                </w:r>
                <w:r w:rsidR="00B649BD" w:rsidRPr="00B649BD">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p>
            </w:txbxContent>
          </v:textbox>
          <w10:wrap anchorx="margin" anchory="margin"/>
        </v:shape>
      </w:pict>
    </w:r>
    <w:sdt>
      <w:sdtPr>
        <w:rPr>
          <w:rFonts w:asciiTheme="majorHAnsi" w:eastAsiaTheme="majorEastAsia" w:hAnsiTheme="majorHAnsi" w:cstheme="majorBidi"/>
          <w:b/>
          <w:sz w:val="32"/>
          <w:szCs w:val="32"/>
        </w:rPr>
        <w:alias w:val="Title"/>
        <w:id w:val="270721805"/>
        <w:placeholder>
          <w:docPart w:val="76967FFD48C64DCB92D0E062611EC372"/>
        </w:placeholder>
        <w:dataBinding w:prefixMappings="xmlns:ns0='http://schemas.openxmlformats.org/package/2006/metadata/core-properties' xmlns:ns1='http://purl.org/dc/elements/1.1/'" w:xpath="/ns0:coreProperties[1]/ns1:title[1]" w:storeItemID="{6C3C8BC8-F283-45AE-878A-BAB7291924A1}"/>
        <w:text/>
      </w:sdtPr>
      <w:sdtContent>
        <w:r w:rsidR="000E177D" w:rsidRPr="0082729D">
          <w:rPr>
            <w:rFonts w:asciiTheme="majorHAnsi" w:eastAsiaTheme="majorEastAsia" w:hAnsiTheme="majorHAnsi" w:cstheme="majorBidi"/>
            <w:b/>
            <w:sz w:val="32"/>
            <w:szCs w:val="32"/>
            <w:lang w:val="el-GR"/>
          </w:rPr>
          <w:t>Παράρτημα Ι</w:t>
        </w:r>
        <w:r w:rsidR="008544E2">
          <w:rPr>
            <w:rFonts w:asciiTheme="majorHAnsi" w:eastAsiaTheme="majorEastAsia" w:hAnsiTheme="majorHAnsi" w:cstheme="majorBidi"/>
            <w:b/>
            <w:sz w:val="32"/>
            <w:szCs w:val="32"/>
            <w:lang w:val="el-GR"/>
          </w:rPr>
          <w:t>α</w:t>
        </w:r>
      </w:sdtContent>
    </w:sdt>
  </w:p>
  <w:p w:rsidR="000E177D" w:rsidRDefault="000E1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8E3"/>
    <w:multiLevelType w:val="hybridMultilevel"/>
    <w:tmpl w:val="FD1A5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62652C5"/>
    <w:multiLevelType w:val="hybridMultilevel"/>
    <w:tmpl w:val="155A83E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64E14B17"/>
    <w:multiLevelType w:val="hybridMultilevel"/>
    <w:tmpl w:val="3026AE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ou, Michalis (CY - Nicosia)">
    <w15:presenceInfo w15:providerId="AD" w15:userId="S-1-5-21-2094927150-201071529-617630493-9814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B6E5E"/>
    <w:rsid w:val="0001193A"/>
    <w:rsid w:val="0001548C"/>
    <w:rsid w:val="00027452"/>
    <w:rsid w:val="00030E7A"/>
    <w:rsid w:val="00034B5A"/>
    <w:rsid w:val="000351AD"/>
    <w:rsid w:val="00044384"/>
    <w:rsid w:val="00047544"/>
    <w:rsid w:val="0005130D"/>
    <w:rsid w:val="0005135E"/>
    <w:rsid w:val="00054FB5"/>
    <w:rsid w:val="000574FB"/>
    <w:rsid w:val="00075A17"/>
    <w:rsid w:val="000800C8"/>
    <w:rsid w:val="000802E3"/>
    <w:rsid w:val="00085113"/>
    <w:rsid w:val="00087CFF"/>
    <w:rsid w:val="0009276A"/>
    <w:rsid w:val="00097C47"/>
    <w:rsid w:val="000B07BF"/>
    <w:rsid w:val="000B2AA4"/>
    <w:rsid w:val="000B49D7"/>
    <w:rsid w:val="000D2C0B"/>
    <w:rsid w:val="000E177D"/>
    <w:rsid w:val="000E65FA"/>
    <w:rsid w:val="000F4D0A"/>
    <w:rsid w:val="001105EE"/>
    <w:rsid w:val="00110F15"/>
    <w:rsid w:val="00111304"/>
    <w:rsid w:val="00112141"/>
    <w:rsid w:val="0013799E"/>
    <w:rsid w:val="00144942"/>
    <w:rsid w:val="00190231"/>
    <w:rsid w:val="00193BC7"/>
    <w:rsid w:val="001A6657"/>
    <w:rsid w:val="001B2389"/>
    <w:rsid w:val="001B2CE6"/>
    <w:rsid w:val="001C34B9"/>
    <w:rsid w:val="001C77F6"/>
    <w:rsid w:val="001E6157"/>
    <w:rsid w:val="001F16D9"/>
    <w:rsid w:val="001F3302"/>
    <w:rsid w:val="001F50AF"/>
    <w:rsid w:val="00207A12"/>
    <w:rsid w:val="0023209F"/>
    <w:rsid w:val="00232569"/>
    <w:rsid w:val="00233224"/>
    <w:rsid w:val="00245050"/>
    <w:rsid w:val="0025370D"/>
    <w:rsid w:val="002610B2"/>
    <w:rsid w:val="002779B0"/>
    <w:rsid w:val="002849C7"/>
    <w:rsid w:val="00293C9A"/>
    <w:rsid w:val="002955EA"/>
    <w:rsid w:val="00296A53"/>
    <w:rsid w:val="002972B0"/>
    <w:rsid w:val="002A0D0B"/>
    <w:rsid w:val="002A1FBC"/>
    <w:rsid w:val="002A52E4"/>
    <w:rsid w:val="002B26E5"/>
    <w:rsid w:val="002B447D"/>
    <w:rsid w:val="002B596E"/>
    <w:rsid w:val="002B7CA8"/>
    <w:rsid w:val="002C1D07"/>
    <w:rsid w:val="002C517B"/>
    <w:rsid w:val="002C66B1"/>
    <w:rsid w:val="002C7C28"/>
    <w:rsid w:val="002D29F5"/>
    <w:rsid w:val="002E62BC"/>
    <w:rsid w:val="0030308B"/>
    <w:rsid w:val="00305EF6"/>
    <w:rsid w:val="00321F82"/>
    <w:rsid w:val="00334F86"/>
    <w:rsid w:val="003450FB"/>
    <w:rsid w:val="00347950"/>
    <w:rsid w:val="00351789"/>
    <w:rsid w:val="003542F7"/>
    <w:rsid w:val="003628D1"/>
    <w:rsid w:val="00374371"/>
    <w:rsid w:val="00386230"/>
    <w:rsid w:val="00394352"/>
    <w:rsid w:val="003B3ED2"/>
    <w:rsid w:val="003C3B50"/>
    <w:rsid w:val="003D11C2"/>
    <w:rsid w:val="003D4C0A"/>
    <w:rsid w:val="003D666B"/>
    <w:rsid w:val="003E29A9"/>
    <w:rsid w:val="003E7E71"/>
    <w:rsid w:val="003F0589"/>
    <w:rsid w:val="003F2BF6"/>
    <w:rsid w:val="00401152"/>
    <w:rsid w:val="00401680"/>
    <w:rsid w:val="00404C51"/>
    <w:rsid w:val="00405EDB"/>
    <w:rsid w:val="0041340F"/>
    <w:rsid w:val="0041568B"/>
    <w:rsid w:val="00415DC8"/>
    <w:rsid w:val="004224BD"/>
    <w:rsid w:val="00425690"/>
    <w:rsid w:val="00436510"/>
    <w:rsid w:val="004433A2"/>
    <w:rsid w:val="00452EE3"/>
    <w:rsid w:val="00453184"/>
    <w:rsid w:val="0046083F"/>
    <w:rsid w:val="00470A11"/>
    <w:rsid w:val="004800FA"/>
    <w:rsid w:val="00480622"/>
    <w:rsid w:val="00486308"/>
    <w:rsid w:val="00493638"/>
    <w:rsid w:val="00495103"/>
    <w:rsid w:val="004A7AC9"/>
    <w:rsid w:val="004B5E41"/>
    <w:rsid w:val="004B7363"/>
    <w:rsid w:val="004C36D6"/>
    <w:rsid w:val="004C5416"/>
    <w:rsid w:val="004C702A"/>
    <w:rsid w:val="004D5A13"/>
    <w:rsid w:val="004E170F"/>
    <w:rsid w:val="004F3277"/>
    <w:rsid w:val="004F36E5"/>
    <w:rsid w:val="004F7E60"/>
    <w:rsid w:val="00500A93"/>
    <w:rsid w:val="0050438F"/>
    <w:rsid w:val="005061E3"/>
    <w:rsid w:val="00545BAE"/>
    <w:rsid w:val="00567960"/>
    <w:rsid w:val="005727AE"/>
    <w:rsid w:val="00576E1C"/>
    <w:rsid w:val="00577E71"/>
    <w:rsid w:val="005800E1"/>
    <w:rsid w:val="00590D10"/>
    <w:rsid w:val="005A4A37"/>
    <w:rsid w:val="005A5192"/>
    <w:rsid w:val="005A531A"/>
    <w:rsid w:val="005A6C52"/>
    <w:rsid w:val="005B4311"/>
    <w:rsid w:val="005B4C35"/>
    <w:rsid w:val="005B6E5E"/>
    <w:rsid w:val="005C3F7A"/>
    <w:rsid w:val="005C7593"/>
    <w:rsid w:val="005C7B25"/>
    <w:rsid w:val="005C7D05"/>
    <w:rsid w:val="005F5D66"/>
    <w:rsid w:val="00604387"/>
    <w:rsid w:val="006067E9"/>
    <w:rsid w:val="006131B1"/>
    <w:rsid w:val="00626787"/>
    <w:rsid w:val="00630699"/>
    <w:rsid w:val="00632EF5"/>
    <w:rsid w:val="006548D4"/>
    <w:rsid w:val="00662BE0"/>
    <w:rsid w:val="00670B69"/>
    <w:rsid w:val="0067185C"/>
    <w:rsid w:val="0067526C"/>
    <w:rsid w:val="0068281A"/>
    <w:rsid w:val="00687CFF"/>
    <w:rsid w:val="00692DE9"/>
    <w:rsid w:val="00697690"/>
    <w:rsid w:val="006A370A"/>
    <w:rsid w:val="006A5B53"/>
    <w:rsid w:val="006B11D8"/>
    <w:rsid w:val="006B5493"/>
    <w:rsid w:val="006B6EB0"/>
    <w:rsid w:val="006C4288"/>
    <w:rsid w:val="006D3C90"/>
    <w:rsid w:val="006D45B2"/>
    <w:rsid w:val="006D5FED"/>
    <w:rsid w:val="006E06F9"/>
    <w:rsid w:val="007054F4"/>
    <w:rsid w:val="00705D4E"/>
    <w:rsid w:val="0071551E"/>
    <w:rsid w:val="0072053E"/>
    <w:rsid w:val="00721808"/>
    <w:rsid w:val="007261D3"/>
    <w:rsid w:val="00730798"/>
    <w:rsid w:val="007409C3"/>
    <w:rsid w:val="00745187"/>
    <w:rsid w:val="00746EF3"/>
    <w:rsid w:val="00755C26"/>
    <w:rsid w:val="00756561"/>
    <w:rsid w:val="00756A36"/>
    <w:rsid w:val="007678C6"/>
    <w:rsid w:val="007742CB"/>
    <w:rsid w:val="0079246D"/>
    <w:rsid w:val="007A0737"/>
    <w:rsid w:val="007A084B"/>
    <w:rsid w:val="007B023D"/>
    <w:rsid w:val="007B2DD8"/>
    <w:rsid w:val="007B30DA"/>
    <w:rsid w:val="007B3BEE"/>
    <w:rsid w:val="007C09FB"/>
    <w:rsid w:val="007C1F89"/>
    <w:rsid w:val="007E41F4"/>
    <w:rsid w:val="007E6B0C"/>
    <w:rsid w:val="007F10A3"/>
    <w:rsid w:val="007F3ED5"/>
    <w:rsid w:val="007F50A4"/>
    <w:rsid w:val="00804283"/>
    <w:rsid w:val="0081252D"/>
    <w:rsid w:val="008261DB"/>
    <w:rsid w:val="0082729D"/>
    <w:rsid w:val="00844119"/>
    <w:rsid w:val="00847CBC"/>
    <w:rsid w:val="008544E2"/>
    <w:rsid w:val="00856881"/>
    <w:rsid w:val="00856F69"/>
    <w:rsid w:val="008574A1"/>
    <w:rsid w:val="00860E6F"/>
    <w:rsid w:val="008619EB"/>
    <w:rsid w:val="00863347"/>
    <w:rsid w:val="008644A0"/>
    <w:rsid w:val="00865A68"/>
    <w:rsid w:val="00866B7B"/>
    <w:rsid w:val="0087316C"/>
    <w:rsid w:val="008860EB"/>
    <w:rsid w:val="00887135"/>
    <w:rsid w:val="0089302D"/>
    <w:rsid w:val="0089743D"/>
    <w:rsid w:val="008A33E2"/>
    <w:rsid w:val="008A38B5"/>
    <w:rsid w:val="008A59E5"/>
    <w:rsid w:val="008B1203"/>
    <w:rsid w:val="008B62DD"/>
    <w:rsid w:val="008C286F"/>
    <w:rsid w:val="008C2E69"/>
    <w:rsid w:val="008E475B"/>
    <w:rsid w:val="008E4A45"/>
    <w:rsid w:val="008F4368"/>
    <w:rsid w:val="00910D0C"/>
    <w:rsid w:val="00910F12"/>
    <w:rsid w:val="00914AFB"/>
    <w:rsid w:val="009177A1"/>
    <w:rsid w:val="00925C01"/>
    <w:rsid w:val="00927821"/>
    <w:rsid w:val="0093277A"/>
    <w:rsid w:val="00936755"/>
    <w:rsid w:val="00942D11"/>
    <w:rsid w:val="0094340E"/>
    <w:rsid w:val="00944745"/>
    <w:rsid w:val="00950F57"/>
    <w:rsid w:val="0095187A"/>
    <w:rsid w:val="00966155"/>
    <w:rsid w:val="00967735"/>
    <w:rsid w:val="009838DA"/>
    <w:rsid w:val="00985289"/>
    <w:rsid w:val="009A0966"/>
    <w:rsid w:val="009B3E33"/>
    <w:rsid w:val="009B7FE8"/>
    <w:rsid w:val="009C117C"/>
    <w:rsid w:val="009C2B79"/>
    <w:rsid w:val="009C5AF7"/>
    <w:rsid w:val="009D0DF7"/>
    <w:rsid w:val="009F38AA"/>
    <w:rsid w:val="009F3931"/>
    <w:rsid w:val="00A06A11"/>
    <w:rsid w:val="00A14625"/>
    <w:rsid w:val="00A272D5"/>
    <w:rsid w:val="00A2776E"/>
    <w:rsid w:val="00A36BC6"/>
    <w:rsid w:val="00A67247"/>
    <w:rsid w:val="00A752AF"/>
    <w:rsid w:val="00A8116B"/>
    <w:rsid w:val="00A92146"/>
    <w:rsid w:val="00A959CA"/>
    <w:rsid w:val="00A978CF"/>
    <w:rsid w:val="00AA4733"/>
    <w:rsid w:val="00AA5532"/>
    <w:rsid w:val="00AB04C3"/>
    <w:rsid w:val="00AB0A63"/>
    <w:rsid w:val="00AD1DB2"/>
    <w:rsid w:val="00AE04F0"/>
    <w:rsid w:val="00AF1B2E"/>
    <w:rsid w:val="00AF4CBF"/>
    <w:rsid w:val="00AF5818"/>
    <w:rsid w:val="00B06D58"/>
    <w:rsid w:val="00B06F68"/>
    <w:rsid w:val="00B1068E"/>
    <w:rsid w:val="00B12FD2"/>
    <w:rsid w:val="00B2316B"/>
    <w:rsid w:val="00B317E9"/>
    <w:rsid w:val="00B3299B"/>
    <w:rsid w:val="00B50F8D"/>
    <w:rsid w:val="00B516FD"/>
    <w:rsid w:val="00B6040A"/>
    <w:rsid w:val="00B649BD"/>
    <w:rsid w:val="00B65E4A"/>
    <w:rsid w:val="00B716A2"/>
    <w:rsid w:val="00B84181"/>
    <w:rsid w:val="00BA4011"/>
    <w:rsid w:val="00BA462E"/>
    <w:rsid w:val="00BA62ED"/>
    <w:rsid w:val="00BB3E96"/>
    <w:rsid w:val="00BC5379"/>
    <w:rsid w:val="00BD1F5C"/>
    <w:rsid w:val="00BD5969"/>
    <w:rsid w:val="00BD6B4A"/>
    <w:rsid w:val="00BD7584"/>
    <w:rsid w:val="00BE4562"/>
    <w:rsid w:val="00BE6FAC"/>
    <w:rsid w:val="00BF2423"/>
    <w:rsid w:val="00BF5FE8"/>
    <w:rsid w:val="00C023C3"/>
    <w:rsid w:val="00C02B06"/>
    <w:rsid w:val="00C10535"/>
    <w:rsid w:val="00C155F0"/>
    <w:rsid w:val="00C27929"/>
    <w:rsid w:val="00C31B52"/>
    <w:rsid w:val="00C4189D"/>
    <w:rsid w:val="00C46B43"/>
    <w:rsid w:val="00C668B5"/>
    <w:rsid w:val="00C73606"/>
    <w:rsid w:val="00C8075F"/>
    <w:rsid w:val="00C90B86"/>
    <w:rsid w:val="00C9385E"/>
    <w:rsid w:val="00C97473"/>
    <w:rsid w:val="00CA1892"/>
    <w:rsid w:val="00CB28C3"/>
    <w:rsid w:val="00CB43D7"/>
    <w:rsid w:val="00CB614C"/>
    <w:rsid w:val="00CB7F89"/>
    <w:rsid w:val="00CC57B2"/>
    <w:rsid w:val="00CD109E"/>
    <w:rsid w:val="00CD4029"/>
    <w:rsid w:val="00CE60F7"/>
    <w:rsid w:val="00CE7F76"/>
    <w:rsid w:val="00CF2FFD"/>
    <w:rsid w:val="00CF7F76"/>
    <w:rsid w:val="00D15BF8"/>
    <w:rsid w:val="00D15CB1"/>
    <w:rsid w:val="00D17847"/>
    <w:rsid w:val="00D20719"/>
    <w:rsid w:val="00D2383D"/>
    <w:rsid w:val="00D24270"/>
    <w:rsid w:val="00D2463A"/>
    <w:rsid w:val="00D30D63"/>
    <w:rsid w:val="00D4106E"/>
    <w:rsid w:val="00D44961"/>
    <w:rsid w:val="00D50B7B"/>
    <w:rsid w:val="00D56FF3"/>
    <w:rsid w:val="00D61B92"/>
    <w:rsid w:val="00D71B5D"/>
    <w:rsid w:val="00D8158E"/>
    <w:rsid w:val="00DA184D"/>
    <w:rsid w:val="00DA3F53"/>
    <w:rsid w:val="00DA5CBD"/>
    <w:rsid w:val="00DB4542"/>
    <w:rsid w:val="00DB4B1B"/>
    <w:rsid w:val="00DC3613"/>
    <w:rsid w:val="00DD01AD"/>
    <w:rsid w:val="00DD02DA"/>
    <w:rsid w:val="00DD1501"/>
    <w:rsid w:val="00DD2E71"/>
    <w:rsid w:val="00DD34D9"/>
    <w:rsid w:val="00DD58FC"/>
    <w:rsid w:val="00DE319F"/>
    <w:rsid w:val="00DE761A"/>
    <w:rsid w:val="00E009DB"/>
    <w:rsid w:val="00E028D3"/>
    <w:rsid w:val="00E2097F"/>
    <w:rsid w:val="00E254DA"/>
    <w:rsid w:val="00E27513"/>
    <w:rsid w:val="00E44751"/>
    <w:rsid w:val="00E5280A"/>
    <w:rsid w:val="00E56BC1"/>
    <w:rsid w:val="00E63BF6"/>
    <w:rsid w:val="00E71015"/>
    <w:rsid w:val="00E74174"/>
    <w:rsid w:val="00E7658E"/>
    <w:rsid w:val="00E779B0"/>
    <w:rsid w:val="00E90F0A"/>
    <w:rsid w:val="00E9103B"/>
    <w:rsid w:val="00E96B9D"/>
    <w:rsid w:val="00EA4C04"/>
    <w:rsid w:val="00EB26F7"/>
    <w:rsid w:val="00EB7EE7"/>
    <w:rsid w:val="00EC15E0"/>
    <w:rsid w:val="00EC587F"/>
    <w:rsid w:val="00EC773C"/>
    <w:rsid w:val="00ED53C1"/>
    <w:rsid w:val="00F10829"/>
    <w:rsid w:val="00F1134C"/>
    <w:rsid w:val="00F12752"/>
    <w:rsid w:val="00F21037"/>
    <w:rsid w:val="00F427AD"/>
    <w:rsid w:val="00F55A54"/>
    <w:rsid w:val="00F62EE4"/>
    <w:rsid w:val="00F63287"/>
    <w:rsid w:val="00F652F1"/>
    <w:rsid w:val="00F67FA4"/>
    <w:rsid w:val="00F707CA"/>
    <w:rsid w:val="00F71370"/>
    <w:rsid w:val="00F8341D"/>
    <w:rsid w:val="00F91349"/>
    <w:rsid w:val="00FA5641"/>
    <w:rsid w:val="00FB07AE"/>
    <w:rsid w:val="00FC3B34"/>
    <w:rsid w:val="00FD00E0"/>
    <w:rsid w:val="00FD7A20"/>
    <w:rsid w:val="00FE14F9"/>
    <w:rsid w:val="00FE31CF"/>
    <w:rsid w:val="00FE38AE"/>
    <w:rsid w:val="00FE73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AD"/>
  </w:style>
  <w:style w:type="paragraph" w:styleId="Heading2">
    <w:name w:val="heading 2"/>
    <w:basedOn w:val="Normal"/>
    <w:next w:val="Normal"/>
    <w:link w:val="Heading2Char"/>
    <w:uiPriority w:val="9"/>
    <w:semiHidden/>
    <w:unhideWhenUsed/>
    <w:qFormat/>
    <w:rsid w:val="00F10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2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1082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E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AE"/>
    <w:rPr>
      <w:rFonts w:ascii="Tahoma" w:hAnsi="Tahoma" w:cs="Tahoma"/>
      <w:sz w:val="16"/>
      <w:szCs w:val="16"/>
    </w:rPr>
  </w:style>
  <w:style w:type="character" w:styleId="CommentReference">
    <w:name w:val="annotation reference"/>
    <w:basedOn w:val="DefaultParagraphFont"/>
    <w:uiPriority w:val="99"/>
    <w:semiHidden/>
    <w:unhideWhenUsed/>
    <w:rsid w:val="00FE38AE"/>
    <w:rPr>
      <w:sz w:val="16"/>
      <w:szCs w:val="16"/>
    </w:rPr>
  </w:style>
  <w:style w:type="paragraph" w:styleId="CommentText">
    <w:name w:val="annotation text"/>
    <w:basedOn w:val="Normal"/>
    <w:link w:val="CommentTextChar"/>
    <w:uiPriority w:val="99"/>
    <w:semiHidden/>
    <w:unhideWhenUsed/>
    <w:rsid w:val="00FE38AE"/>
    <w:pPr>
      <w:spacing w:line="240" w:lineRule="auto"/>
    </w:pPr>
    <w:rPr>
      <w:sz w:val="20"/>
      <w:szCs w:val="20"/>
    </w:rPr>
  </w:style>
  <w:style w:type="character" w:customStyle="1" w:styleId="CommentTextChar">
    <w:name w:val="Comment Text Char"/>
    <w:basedOn w:val="DefaultParagraphFont"/>
    <w:link w:val="CommentText"/>
    <w:uiPriority w:val="99"/>
    <w:semiHidden/>
    <w:rsid w:val="00FE38AE"/>
    <w:rPr>
      <w:sz w:val="20"/>
      <w:szCs w:val="20"/>
    </w:rPr>
  </w:style>
  <w:style w:type="paragraph" w:styleId="CommentSubject">
    <w:name w:val="annotation subject"/>
    <w:basedOn w:val="CommentText"/>
    <w:next w:val="CommentText"/>
    <w:link w:val="CommentSubjectChar"/>
    <w:uiPriority w:val="99"/>
    <w:semiHidden/>
    <w:unhideWhenUsed/>
    <w:rsid w:val="00FE38AE"/>
    <w:rPr>
      <w:b/>
      <w:bCs/>
    </w:rPr>
  </w:style>
  <w:style w:type="character" w:customStyle="1" w:styleId="CommentSubjectChar">
    <w:name w:val="Comment Subject Char"/>
    <w:basedOn w:val="CommentTextChar"/>
    <w:link w:val="CommentSubject"/>
    <w:uiPriority w:val="99"/>
    <w:semiHidden/>
    <w:rsid w:val="00FE38AE"/>
    <w:rPr>
      <w:b/>
      <w:bCs/>
      <w:sz w:val="20"/>
      <w:szCs w:val="20"/>
    </w:rPr>
  </w:style>
  <w:style w:type="paragraph" w:styleId="Header">
    <w:name w:val="header"/>
    <w:basedOn w:val="Normal"/>
    <w:link w:val="HeaderChar"/>
    <w:uiPriority w:val="99"/>
    <w:unhideWhenUsed/>
    <w:rsid w:val="00827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729D"/>
  </w:style>
  <w:style w:type="paragraph" w:styleId="Footer">
    <w:name w:val="footer"/>
    <w:basedOn w:val="Normal"/>
    <w:link w:val="FooterChar"/>
    <w:uiPriority w:val="99"/>
    <w:unhideWhenUsed/>
    <w:rsid w:val="00827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729D"/>
  </w:style>
  <w:style w:type="paragraph" w:styleId="NoSpacing">
    <w:name w:val="No Spacing"/>
    <w:link w:val="NoSpacingChar"/>
    <w:uiPriority w:val="1"/>
    <w:qFormat/>
    <w:rsid w:val="0082729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2729D"/>
    <w:rPr>
      <w:rFonts w:eastAsiaTheme="minorEastAsia"/>
      <w:lang w:eastAsia="ja-JP"/>
    </w:rPr>
  </w:style>
  <w:style w:type="character" w:customStyle="1" w:styleId="Heading3Char">
    <w:name w:val="Heading 3 Char"/>
    <w:basedOn w:val="DefaultParagraphFont"/>
    <w:link w:val="Heading3"/>
    <w:uiPriority w:val="9"/>
    <w:semiHidden/>
    <w:rsid w:val="0019023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887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AD"/>
  </w:style>
  <w:style w:type="paragraph" w:styleId="Heading2">
    <w:name w:val="heading 2"/>
    <w:basedOn w:val="Normal"/>
    <w:next w:val="Normal"/>
    <w:link w:val="Heading2Char"/>
    <w:uiPriority w:val="9"/>
    <w:semiHidden/>
    <w:unhideWhenUsed/>
    <w:qFormat/>
    <w:rsid w:val="00F10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2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1082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E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AE"/>
    <w:rPr>
      <w:rFonts w:ascii="Tahoma" w:hAnsi="Tahoma" w:cs="Tahoma"/>
      <w:sz w:val="16"/>
      <w:szCs w:val="16"/>
    </w:rPr>
  </w:style>
  <w:style w:type="character" w:styleId="CommentReference">
    <w:name w:val="annotation reference"/>
    <w:basedOn w:val="DefaultParagraphFont"/>
    <w:uiPriority w:val="99"/>
    <w:semiHidden/>
    <w:unhideWhenUsed/>
    <w:rsid w:val="00FE38AE"/>
    <w:rPr>
      <w:sz w:val="16"/>
      <w:szCs w:val="16"/>
    </w:rPr>
  </w:style>
  <w:style w:type="paragraph" w:styleId="CommentText">
    <w:name w:val="annotation text"/>
    <w:basedOn w:val="Normal"/>
    <w:link w:val="CommentTextChar"/>
    <w:uiPriority w:val="99"/>
    <w:semiHidden/>
    <w:unhideWhenUsed/>
    <w:rsid w:val="00FE38AE"/>
    <w:pPr>
      <w:spacing w:line="240" w:lineRule="auto"/>
    </w:pPr>
    <w:rPr>
      <w:sz w:val="20"/>
      <w:szCs w:val="20"/>
    </w:rPr>
  </w:style>
  <w:style w:type="character" w:customStyle="1" w:styleId="CommentTextChar">
    <w:name w:val="Comment Text Char"/>
    <w:basedOn w:val="DefaultParagraphFont"/>
    <w:link w:val="CommentText"/>
    <w:uiPriority w:val="99"/>
    <w:semiHidden/>
    <w:rsid w:val="00FE38AE"/>
    <w:rPr>
      <w:sz w:val="20"/>
      <w:szCs w:val="20"/>
    </w:rPr>
  </w:style>
  <w:style w:type="paragraph" w:styleId="CommentSubject">
    <w:name w:val="annotation subject"/>
    <w:basedOn w:val="CommentText"/>
    <w:next w:val="CommentText"/>
    <w:link w:val="CommentSubjectChar"/>
    <w:uiPriority w:val="99"/>
    <w:semiHidden/>
    <w:unhideWhenUsed/>
    <w:rsid w:val="00FE38AE"/>
    <w:rPr>
      <w:b/>
      <w:bCs/>
    </w:rPr>
  </w:style>
  <w:style w:type="character" w:customStyle="1" w:styleId="CommentSubjectChar">
    <w:name w:val="Comment Subject Char"/>
    <w:basedOn w:val="CommentTextChar"/>
    <w:link w:val="CommentSubject"/>
    <w:uiPriority w:val="99"/>
    <w:semiHidden/>
    <w:rsid w:val="00FE38AE"/>
    <w:rPr>
      <w:b/>
      <w:bCs/>
      <w:sz w:val="20"/>
      <w:szCs w:val="20"/>
    </w:rPr>
  </w:style>
  <w:style w:type="paragraph" w:styleId="Header">
    <w:name w:val="header"/>
    <w:basedOn w:val="Normal"/>
    <w:link w:val="HeaderChar"/>
    <w:uiPriority w:val="99"/>
    <w:unhideWhenUsed/>
    <w:rsid w:val="00827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729D"/>
  </w:style>
  <w:style w:type="paragraph" w:styleId="Footer">
    <w:name w:val="footer"/>
    <w:basedOn w:val="Normal"/>
    <w:link w:val="FooterChar"/>
    <w:uiPriority w:val="99"/>
    <w:unhideWhenUsed/>
    <w:rsid w:val="00827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729D"/>
  </w:style>
  <w:style w:type="paragraph" w:styleId="NoSpacing">
    <w:name w:val="No Spacing"/>
    <w:link w:val="NoSpacingChar"/>
    <w:uiPriority w:val="1"/>
    <w:qFormat/>
    <w:rsid w:val="0082729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2729D"/>
    <w:rPr>
      <w:rFonts w:eastAsiaTheme="minorEastAsia"/>
      <w:lang w:eastAsia="ja-JP"/>
    </w:rPr>
  </w:style>
  <w:style w:type="character" w:customStyle="1" w:styleId="Heading3Char">
    <w:name w:val="Heading 3 Char"/>
    <w:basedOn w:val="DefaultParagraphFont"/>
    <w:link w:val="Heading3"/>
    <w:uiPriority w:val="9"/>
    <w:semiHidden/>
    <w:rsid w:val="0019023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887135"/>
    <w:pPr>
      <w:ind w:left="720"/>
      <w:contextualSpacing/>
    </w:pPr>
  </w:style>
</w:styles>
</file>

<file path=word/webSettings.xml><?xml version="1.0" encoding="utf-8"?>
<w:webSettings xmlns:r="http://schemas.openxmlformats.org/officeDocument/2006/relationships" xmlns:w="http://schemas.openxmlformats.org/wordprocessingml/2006/main">
  <w:divs>
    <w:div w:id="10571851">
      <w:bodyDiv w:val="1"/>
      <w:marLeft w:val="0"/>
      <w:marRight w:val="0"/>
      <w:marTop w:val="0"/>
      <w:marBottom w:val="0"/>
      <w:divBdr>
        <w:top w:val="none" w:sz="0" w:space="0" w:color="auto"/>
        <w:left w:val="none" w:sz="0" w:space="0" w:color="auto"/>
        <w:bottom w:val="none" w:sz="0" w:space="0" w:color="auto"/>
        <w:right w:val="none" w:sz="0" w:space="0" w:color="auto"/>
      </w:divBdr>
    </w:div>
    <w:div w:id="19360378">
      <w:bodyDiv w:val="1"/>
      <w:marLeft w:val="0"/>
      <w:marRight w:val="0"/>
      <w:marTop w:val="0"/>
      <w:marBottom w:val="0"/>
      <w:divBdr>
        <w:top w:val="none" w:sz="0" w:space="0" w:color="auto"/>
        <w:left w:val="none" w:sz="0" w:space="0" w:color="auto"/>
        <w:bottom w:val="none" w:sz="0" w:space="0" w:color="auto"/>
        <w:right w:val="none" w:sz="0" w:space="0" w:color="auto"/>
      </w:divBdr>
    </w:div>
    <w:div w:id="19474486">
      <w:bodyDiv w:val="1"/>
      <w:marLeft w:val="0"/>
      <w:marRight w:val="0"/>
      <w:marTop w:val="0"/>
      <w:marBottom w:val="0"/>
      <w:divBdr>
        <w:top w:val="none" w:sz="0" w:space="0" w:color="auto"/>
        <w:left w:val="none" w:sz="0" w:space="0" w:color="auto"/>
        <w:bottom w:val="none" w:sz="0" w:space="0" w:color="auto"/>
        <w:right w:val="none" w:sz="0" w:space="0" w:color="auto"/>
      </w:divBdr>
    </w:div>
    <w:div w:id="21633916">
      <w:bodyDiv w:val="1"/>
      <w:marLeft w:val="0"/>
      <w:marRight w:val="0"/>
      <w:marTop w:val="0"/>
      <w:marBottom w:val="0"/>
      <w:divBdr>
        <w:top w:val="none" w:sz="0" w:space="0" w:color="auto"/>
        <w:left w:val="none" w:sz="0" w:space="0" w:color="auto"/>
        <w:bottom w:val="none" w:sz="0" w:space="0" w:color="auto"/>
        <w:right w:val="none" w:sz="0" w:space="0" w:color="auto"/>
      </w:divBdr>
    </w:div>
    <w:div w:id="59866326">
      <w:bodyDiv w:val="1"/>
      <w:marLeft w:val="0"/>
      <w:marRight w:val="0"/>
      <w:marTop w:val="0"/>
      <w:marBottom w:val="0"/>
      <w:divBdr>
        <w:top w:val="none" w:sz="0" w:space="0" w:color="auto"/>
        <w:left w:val="none" w:sz="0" w:space="0" w:color="auto"/>
        <w:bottom w:val="none" w:sz="0" w:space="0" w:color="auto"/>
        <w:right w:val="none" w:sz="0" w:space="0" w:color="auto"/>
      </w:divBdr>
    </w:div>
    <w:div w:id="74674003">
      <w:bodyDiv w:val="1"/>
      <w:marLeft w:val="0"/>
      <w:marRight w:val="0"/>
      <w:marTop w:val="0"/>
      <w:marBottom w:val="0"/>
      <w:divBdr>
        <w:top w:val="none" w:sz="0" w:space="0" w:color="auto"/>
        <w:left w:val="none" w:sz="0" w:space="0" w:color="auto"/>
        <w:bottom w:val="none" w:sz="0" w:space="0" w:color="auto"/>
        <w:right w:val="none" w:sz="0" w:space="0" w:color="auto"/>
      </w:divBdr>
    </w:div>
    <w:div w:id="129517177">
      <w:bodyDiv w:val="1"/>
      <w:marLeft w:val="0"/>
      <w:marRight w:val="0"/>
      <w:marTop w:val="0"/>
      <w:marBottom w:val="0"/>
      <w:divBdr>
        <w:top w:val="none" w:sz="0" w:space="0" w:color="auto"/>
        <w:left w:val="none" w:sz="0" w:space="0" w:color="auto"/>
        <w:bottom w:val="none" w:sz="0" w:space="0" w:color="auto"/>
        <w:right w:val="none" w:sz="0" w:space="0" w:color="auto"/>
      </w:divBdr>
    </w:div>
    <w:div w:id="190189290">
      <w:bodyDiv w:val="1"/>
      <w:marLeft w:val="0"/>
      <w:marRight w:val="0"/>
      <w:marTop w:val="0"/>
      <w:marBottom w:val="0"/>
      <w:divBdr>
        <w:top w:val="none" w:sz="0" w:space="0" w:color="auto"/>
        <w:left w:val="none" w:sz="0" w:space="0" w:color="auto"/>
        <w:bottom w:val="none" w:sz="0" w:space="0" w:color="auto"/>
        <w:right w:val="none" w:sz="0" w:space="0" w:color="auto"/>
      </w:divBdr>
    </w:div>
    <w:div w:id="191191195">
      <w:bodyDiv w:val="1"/>
      <w:marLeft w:val="0"/>
      <w:marRight w:val="0"/>
      <w:marTop w:val="0"/>
      <w:marBottom w:val="0"/>
      <w:divBdr>
        <w:top w:val="none" w:sz="0" w:space="0" w:color="auto"/>
        <w:left w:val="none" w:sz="0" w:space="0" w:color="auto"/>
        <w:bottom w:val="none" w:sz="0" w:space="0" w:color="auto"/>
        <w:right w:val="none" w:sz="0" w:space="0" w:color="auto"/>
      </w:divBdr>
    </w:div>
    <w:div w:id="238835760">
      <w:bodyDiv w:val="1"/>
      <w:marLeft w:val="0"/>
      <w:marRight w:val="0"/>
      <w:marTop w:val="0"/>
      <w:marBottom w:val="0"/>
      <w:divBdr>
        <w:top w:val="none" w:sz="0" w:space="0" w:color="auto"/>
        <w:left w:val="none" w:sz="0" w:space="0" w:color="auto"/>
        <w:bottom w:val="none" w:sz="0" w:space="0" w:color="auto"/>
        <w:right w:val="none" w:sz="0" w:space="0" w:color="auto"/>
      </w:divBdr>
    </w:div>
    <w:div w:id="244917458">
      <w:bodyDiv w:val="1"/>
      <w:marLeft w:val="0"/>
      <w:marRight w:val="0"/>
      <w:marTop w:val="0"/>
      <w:marBottom w:val="0"/>
      <w:divBdr>
        <w:top w:val="none" w:sz="0" w:space="0" w:color="auto"/>
        <w:left w:val="none" w:sz="0" w:space="0" w:color="auto"/>
        <w:bottom w:val="none" w:sz="0" w:space="0" w:color="auto"/>
        <w:right w:val="none" w:sz="0" w:space="0" w:color="auto"/>
      </w:divBdr>
    </w:div>
    <w:div w:id="252519817">
      <w:bodyDiv w:val="1"/>
      <w:marLeft w:val="0"/>
      <w:marRight w:val="0"/>
      <w:marTop w:val="0"/>
      <w:marBottom w:val="0"/>
      <w:divBdr>
        <w:top w:val="none" w:sz="0" w:space="0" w:color="auto"/>
        <w:left w:val="none" w:sz="0" w:space="0" w:color="auto"/>
        <w:bottom w:val="none" w:sz="0" w:space="0" w:color="auto"/>
        <w:right w:val="none" w:sz="0" w:space="0" w:color="auto"/>
      </w:divBdr>
    </w:div>
    <w:div w:id="276062989">
      <w:bodyDiv w:val="1"/>
      <w:marLeft w:val="0"/>
      <w:marRight w:val="0"/>
      <w:marTop w:val="0"/>
      <w:marBottom w:val="0"/>
      <w:divBdr>
        <w:top w:val="none" w:sz="0" w:space="0" w:color="auto"/>
        <w:left w:val="none" w:sz="0" w:space="0" w:color="auto"/>
        <w:bottom w:val="none" w:sz="0" w:space="0" w:color="auto"/>
        <w:right w:val="none" w:sz="0" w:space="0" w:color="auto"/>
      </w:divBdr>
    </w:div>
    <w:div w:id="280187306">
      <w:bodyDiv w:val="1"/>
      <w:marLeft w:val="0"/>
      <w:marRight w:val="0"/>
      <w:marTop w:val="0"/>
      <w:marBottom w:val="0"/>
      <w:divBdr>
        <w:top w:val="none" w:sz="0" w:space="0" w:color="auto"/>
        <w:left w:val="none" w:sz="0" w:space="0" w:color="auto"/>
        <w:bottom w:val="none" w:sz="0" w:space="0" w:color="auto"/>
        <w:right w:val="none" w:sz="0" w:space="0" w:color="auto"/>
      </w:divBdr>
    </w:div>
    <w:div w:id="332534083">
      <w:bodyDiv w:val="1"/>
      <w:marLeft w:val="0"/>
      <w:marRight w:val="0"/>
      <w:marTop w:val="0"/>
      <w:marBottom w:val="0"/>
      <w:divBdr>
        <w:top w:val="none" w:sz="0" w:space="0" w:color="auto"/>
        <w:left w:val="none" w:sz="0" w:space="0" w:color="auto"/>
        <w:bottom w:val="none" w:sz="0" w:space="0" w:color="auto"/>
        <w:right w:val="none" w:sz="0" w:space="0" w:color="auto"/>
      </w:divBdr>
    </w:div>
    <w:div w:id="365641580">
      <w:bodyDiv w:val="1"/>
      <w:marLeft w:val="0"/>
      <w:marRight w:val="0"/>
      <w:marTop w:val="0"/>
      <w:marBottom w:val="0"/>
      <w:divBdr>
        <w:top w:val="none" w:sz="0" w:space="0" w:color="auto"/>
        <w:left w:val="none" w:sz="0" w:space="0" w:color="auto"/>
        <w:bottom w:val="none" w:sz="0" w:space="0" w:color="auto"/>
        <w:right w:val="none" w:sz="0" w:space="0" w:color="auto"/>
      </w:divBdr>
    </w:div>
    <w:div w:id="390664868">
      <w:bodyDiv w:val="1"/>
      <w:marLeft w:val="0"/>
      <w:marRight w:val="0"/>
      <w:marTop w:val="0"/>
      <w:marBottom w:val="0"/>
      <w:divBdr>
        <w:top w:val="none" w:sz="0" w:space="0" w:color="auto"/>
        <w:left w:val="none" w:sz="0" w:space="0" w:color="auto"/>
        <w:bottom w:val="none" w:sz="0" w:space="0" w:color="auto"/>
        <w:right w:val="none" w:sz="0" w:space="0" w:color="auto"/>
      </w:divBdr>
    </w:div>
    <w:div w:id="434517259">
      <w:bodyDiv w:val="1"/>
      <w:marLeft w:val="0"/>
      <w:marRight w:val="0"/>
      <w:marTop w:val="0"/>
      <w:marBottom w:val="0"/>
      <w:divBdr>
        <w:top w:val="none" w:sz="0" w:space="0" w:color="auto"/>
        <w:left w:val="none" w:sz="0" w:space="0" w:color="auto"/>
        <w:bottom w:val="none" w:sz="0" w:space="0" w:color="auto"/>
        <w:right w:val="none" w:sz="0" w:space="0" w:color="auto"/>
      </w:divBdr>
    </w:div>
    <w:div w:id="548879857">
      <w:bodyDiv w:val="1"/>
      <w:marLeft w:val="0"/>
      <w:marRight w:val="0"/>
      <w:marTop w:val="0"/>
      <w:marBottom w:val="0"/>
      <w:divBdr>
        <w:top w:val="none" w:sz="0" w:space="0" w:color="auto"/>
        <w:left w:val="none" w:sz="0" w:space="0" w:color="auto"/>
        <w:bottom w:val="none" w:sz="0" w:space="0" w:color="auto"/>
        <w:right w:val="none" w:sz="0" w:space="0" w:color="auto"/>
      </w:divBdr>
    </w:div>
    <w:div w:id="561986137">
      <w:bodyDiv w:val="1"/>
      <w:marLeft w:val="0"/>
      <w:marRight w:val="0"/>
      <w:marTop w:val="0"/>
      <w:marBottom w:val="0"/>
      <w:divBdr>
        <w:top w:val="none" w:sz="0" w:space="0" w:color="auto"/>
        <w:left w:val="none" w:sz="0" w:space="0" w:color="auto"/>
        <w:bottom w:val="none" w:sz="0" w:space="0" w:color="auto"/>
        <w:right w:val="none" w:sz="0" w:space="0" w:color="auto"/>
      </w:divBdr>
    </w:div>
    <w:div w:id="563569238">
      <w:bodyDiv w:val="1"/>
      <w:marLeft w:val="0"/>
      <w:marRight w:val="0"/>
      <w:marTop w:val="0"/>
      <w:marBottom w:val="0"/>
      <w:divBdr>
        <w:top w:val="none" w:sz="0" w:space="0" w:color="auto"/>
        <w:left w:val="none" w:sz="0" w:space="0" w:color="auto"/>
        <w:bottom w:val="none" w:sz="0" w:space="0" w:color="auto"/>
        <w:right w:val="none" w:sz="0" w:space="0" w:color="auto"/>
      </w:divBdr>
    </w:div>
    <w:div w:id="572668459">
      <w:bodyDiv w:val="1"/>
      <w:marLeft w:val="0"/>
      <w:marRight w:val="0"/>
      <w:marTop w:val="0"/>
      <w:marBottom w:val="0"/>
      <w:divBdr>
        <w:top w:val="none" w:sz="0" w:space="0" w:color="auto"/>
        <w:left w:val="none" w:sz="0" w:space="0" w:color="auto"/>
        <w:bottom w:val="none" w:sz="0" w:space="0" w:color="auto"/>
        <w:right w:val="none" w:sz="0" w:space="0" w:color="auto"/>
      </w:divBdr>
    </w:div>
    <w:div w:id="599608785">
      <w:bodyDiv w:val="1"/>
      <w:marLeft w:val="0"/>
      <w:marRight w:val="0"/>
      <w:marTop w:val="0"/>
      <w:marBottom w:val="0"/>
      <w:divBdr>
        <w:top w:val="none" w:sz="0" w:space="0" w:color="auto"/>
        <w:left w:val="none" w:sz="0" w:space="0" w:color="auto"/>
        <w:bottom w:val="none" w:sz="0" w:space="0" w:color="auto"/>
        <w:right w:val="none" w:sz="0" w:space="0" w:color="auto"/>
      </w:divBdr>
    </w:div>
    <w:div w:id="642195492">
      <w:bodyDiv w:val="1"/>
      <w:marLeft w:val="0"/>
      <w:marRight w:val="0"/>
      <w:marTop w:val="0"/>
      <w:marBottom w:val="0"/>
      <w:divBdr>
        <w:top w:val="none" w:sz="0" w:space="0" w:color="auto"/>
        <w:left w:val="none" w:sz="0" w:space="0" w:color="auto"/>
        <w:bottom w:val="none" w:sz="0" w:space="0" w:color="auto"/>
        <w:right w:val="none" w:sz="0" w:space="0" w:color="auto"/>
      </w:divBdr>
    </w:div>
    <w:div w:id="646085374">
      <w:bodyDiv w:val="1"/>
      <w:marLeft w:val="0"/>
      <w:marRight w:val="0"/>
      <w:marTop w:val="0"/>
      <w:marBottom w:val="0"/>
      <w:divBdr>
        <w:top w:val="none" w:sz="0" w:space="0" w:color="auto"/>
        <w:left w:val="none" w:sz="0" w:space="0" w:color="auto"/>
        <w:bottom w:val="none" w:sz="0" w:space="0" w:color="auto"/>
        <w:right w:val="none" w:sz="0" w:space="0" w:color="auto"/>
      </w:divBdr>
    </w:div>
    <w:div w:id="712077711">
      <w:bodyDiv w:val="1"/>
      <w:marLeft w:val="0"/>
      <w:marRight w:val="0"/>
      <w:marTop w:val="0"/>
      <w:marBottom w:val="0"/>
      <w:divBdr>
        <w:top w:val="none" w:sz="0" w:space="0" w:color="auto"/>
        <w:left w:val="none" w:sz="0" w:space="0" w:color="auto"/>
        <w:bottom w:val="none" w:sz="0" w:space="0" w:color="auto"/>
        <w:right w:val="none" w:sz="0" w:space="0" w:color="auto"/>
      </w:divBdr>
    </w:div>
    <w:div w:id="788163021">
      <w:bodyDiv w:val="1"/>
      <w:marLeft w:val="0"/>
      <w:marRight w:val="0"/>
      <w:marTop w:val="0"/>
      <w:marBottom w:val="0"/>
      <w:divBdr>
        <w:top w:val="none" w:sz="0" w:space="0" w:color="auto"/>
        <w:left w:val="none" w:sz="0" w:space="0" w:color="auto"/>
        <w:bottom w:val="none" w:sz="0" w:space="0" w:color="auto"/>
        <w:right w:val="none" w:sz="0" w:space="0" w:color="auto"/>
      </w:divBdr>
    </w:div>
    <w:div w:id="790705559">
      <w:bodyDiv w:val="1"/>
      <w:marLeft w:val="0"/>
      <w:marRight w:val="0"/>
      <w:marTop w:val="0"/>
      <w:marBottom w:val="0"/>
      <w:divBdr>
        <w:top w:val="none" w:sz="0" w:space="0" w:color="auto"/>
        <w:left w:val="none" w:sz="0" w:space="0" w:color="auto"/>
        <w:bottom w:val="none" w:sz="0" w:space="0" w:color="auto"/>
        <w:right w:val="none" w:sz="0" w:space="0" w:color="auto"/>
      </w:divBdr>
    </w:div>
    <w:div w:id="877280160">
      <w:bodyDiv w:val="1"/>
      <w:marLeft w:val="0"/>
      <w:marRight w:val="0"/>
      <w:marTop w:val="0"/>
      <w:marBottom w:val="0"/>
      <w:divBdr>
        <w:top w:val="none" w:sz="0" w:space="0" w:color="auto"/>
        <w:left w:val="none" w:sz="0" w:space="0" w:color="auto"/>
        <w:bottom w:val="none" w:sz="0" w:space="0" w:color="auto"/>
        <w:right w:val="none" w:sz="0" w:space="0" w:color="auto"/>
      </w:divBdr>
    </w:div>
    <w:div w:id="899903129">
      <w:bodyDiv w:val="1"/>
      <w:marLeft w:val="0"/>
      <w:marRight w:val="0"/>
      <w:marTop w:val="0"/>
      <w:marBottom w:val="0"/>
      <w:divBdr>
        <w:top w:val="none" w:sz="0" w:space="0" w:color="auto"/>
        <w:left w:val="none" w:sz="0" w:space="0" w:color="auto"/>
        <w:bottom w:val="none" w:sz="0" w:space="0" w:color="auto"/>
        <w:right w:val="none" w:sz="0" w:space="0" w:color="auto"/>
      </w:divBdr>
    </w:div>
    <w:div w:id="966544874">
      <w:bodyDiv w:val="1"/>
      <w:marLeft w:val="0"/>
      <w:marRight w:val="0"/>
      <w:marTop w:val="0"/>
      <w:marBottom w:val="0"/>
      <w:divBdr>
        <w:top w:val="none" w:sz="0" w:space="0" w:color="auto"/>
        <w:left w:val="none" w:sz="0" w:space="0" w:color="auto"/>
        <w:bottom w:val="none" w:sz="0" w:space="0" w:color="auto"/>
        <w:right w:val="none" w:sz="0" w:space="0" w:color="auto"/>
      </w:divBdr>
    </w:div>
    <w:div w:id="1111247108">
      <w:bodyDiv w:val="1"/>
      <w:marLeft w:val="0"/>
      <w:marRight w:val="0"/>
      <w:marTop w:val="0"/>
      <w:marBottom w:val="0"/>
      <w:divBdr>
        <w:top w:val="none" w:sz="0" w:space="0" w:color="auto"/>
        <w:left w:val="none" w:sz="0" w:space="0" w:color="auto"/>
        <w:bottom w:val="none" w:sz="0" w:space="0" w:color="auto"/>
        <w:right w:val="none" w:sz="0" w:space="0" w:color="auto"/>
      </w:divBdr>
    </w:div>
    <w:div w:id="1164903893">
      <w:bodyDiv w:val="1"/>
      <w:marLeft w:val="0"/>
      <w:marRight w:val="0"/>
      <w:marTop w:val="0"/>
      <w:marBottom w:val="0"/>
      <w:divBdr>
        <w:top w:val="none" w:sz="0" w:space="0" w:color="auto"/>
        <w:left w:val="none" w:sz="0" w:space="0" w:color="auto"/>
        <w:bottom w:val="none" w:sz="0" w:space="0" w:color="auto"/>
        <w:right w:val="none" w:sz="0" w:space="0" w:color="auto"/>
      </w:divBdr>
    </w:div>
    <w:div w:id="1236669239">
      <w:bodyDiv w:val="1"/>
      <w:marLeft w:val="0"/>
      <w:marRight w:val="0"/>
      <w:marTop w:val="0"/>
      <w:marBottom w:val="0"/>
      <w:divBdr>
        <w:top w:val="none" w:sz="0" w:space="0" w:color="auto"/>
        <w:left w:val="none" w:sz="0" w:space="0" w:color="auto"/>
        <w:bottom w:val="none" w:sz="0" w:space="0" w:color="auto"/>
        <w:right w:val="none" w:sz="0" w:space="0" w:color="auto"/>
      </w:divBdr>
    </w:div>
    <w:div w:id="1242065194">
      <w:bodyDiv w:val="1"/>
      <w:marLeft w:val="0"/>
      <w:marRight w:val="0"/>
      <w:marTop w:val="0"/>
      <w:marBottom w:val="0"/>
      <w:divBdr>
        <w:top w:val="none" w:sz="0" w:space="0" w:color="auto"/>
        <w:left w:val="none" w:sz="0" w:space="0" w:color="auto"/>
        <w:bottom w:val="none" w:sz="0" w:space="0" w:color="auto"/>
        <w:right w:val="none" w:sz="0" w:space="0" w:color="auto"/>
      </w:divBdr>
    </w:div>
    <w:div w:id="1275360940">
      <w:bodyDiv w:val="1"/>
      <w:marLeft w:val="0"/>
      <w:marRight w:val="0"/>
      <w:marTop w:val="0"/>
      <w:marBottom w:val="0"/>
      <w:divBdr>
        <w:top w:val="none" w:sz="0" w:space="0" w:color="auto"/>
        <w:left w:val="none" w:sz="0" w:space="0" w:color="auto"/>
        <w:bottom w:val="none" w:sz="0" w:space="0" w:color="auto"/>
        <w:right w:val="none" w:sz="0" w:space="0" w:color="auto"/>
      </w:divBdr>
    </w:div>
    <w:div w:id="1320767620">
      <w:bodyDiv w:val="1"/>
      <w:marLeft w:val="0"/>
      <w:marRight w:val="0"/>
      <w:marTop w:val="0"/>
      <w:marBottom w:val="0"/>
      <w:divBdr>
        <w:top w:val="none" w:sz="0" w:space="0" w:color="auto"/>
        <w:left w:val="none" w:sz="0" w:space="0" w:color="auto"/>
        <w:bottom w:val="none" w:sz="0" w:space="0" w:color="auto"/>
        <w:right w:val="none" w:sz="0" w:space="0" w:color="auto"/>
      </w:divBdr>
    </w:div>
    <w:div w:id="1398480166">
      <w:bodyDiv w:val="1"/>
      <w:marLeft w:val="0"/>
      <w:marRight w:val="0"/>
      <w:marTop w:val="0"/>
      <w:marBottom w:val="0"/>
      <w:divBdr>
        <w:top w:val="none" w:sz="0" w:space="0" w:color="auto"/>
        <w:left w:val="none" w:sz="0" w:space="0" w:color="auto"/>
        <w:bottom w:val="none" w:sz="0" w:space="0" w:color="auto"/>
        <w:right w:val="none" w:sz="0" w:space="0" w:color="auto"/>
      </w:divBdr>
    </w:div>
    <w:div w:id="1420561592">
      <w:bodyDiv w:val="1"/>
      <w:marLeft w:val="0"/>
      <w:marRight w:val="0"/>
      <w:marTop w:val="0"/>
      <w:marBottom w:val="0"/>
      <w:divBdr>
        <w:top w:val="none" w:sz="0" w:space="0" w:color="auto"/>
        <w:left w:val="none" w:sz="0" w:space="0" w:color="auto"/>
        <w:bottom w:val="none" w:sz="0" w:space="0" w:color="auto"/>
        <w:right w:val="none" w:sz="0" w:space="0" w:color="auto"/>
      </w:divBdr>
    </w:div>
    <w:div w:id="1435397171">
      <w:bodyDiv w:val="1"/>
      <w:marLeft w:val="0"/>
      <w:marRight w:val="0"/>
      <w:marTop w:val="0"/>
      <w:marBottom w:val="0"/>
      <w:divBdr>
        <w:top w:val="none" w:sz="0" w:space="0" w:color="auto"/>
        <w:left w:val="none" w:sz="0" w:space="0" w:color="auto"/>
        <w:bottom w:val="none" w:sz="0" w:space="0" w:color="auto"/>
        <w:right w:val="none" w:sz="0" w:space="0" w:color="auto"/>
      </w:divBdr>
    </w:div>
    <w:div w:id="1457719777">
      <w:bodyDiv w:val="1"/>
      <w:marLeft w:val="0"/>
      <w:marRight w:val="0"/>
      <w:marTop w:val="0"/>
      <w:marBottom w:val="0"/>
      <w:divBdr>
        <w:top w:val="none" w:sz="0" w:space="0" w:color="auto"/>
        <w:left w:val="none" w:sz="0" w:space="0" w:color="auto"/>
        <w:bottom w:val="none" w:sz="0" w:space="0" w:color="auto"/>
        <w:right w:val="none" w:sz="0" w:space="0" w:color="auto"/>
      </w:divBdr>
    </w:div>
    <w:div w:id="1529369876">
      <w:bodyDiv w:val="1"/>
      <w:marLeft w:val="0"/>
      <w:marRight w:val="0"/>
      <w:marTop w:val="0"/>
      <w:marBottom w:val="0"/>
      <w:divBdr>
        <w:top w:val="none" w:sz="0" w:space="0" w:color="auto"/>
        <w:left w:val="none" w:sz="0" w:space="0" w:color="auto"/>
        <w:bottom w:val="none" w:sz="0" w:space="0" w:color="auto"/>
        <w:right w:val="none" w:sz="0" w:space="0" w:color="auto"/>
      </w:divBdr>
    </w:div>
    <w:div w:id="1536381465">
      <w:bodyDiv w:val="1"/>
      <w:marLeft w:val="0"/>
      <w:marRight w:val="0"/>
      <w:marTop w:val="0"/>
      <w:marBottom w:val="0"/>
      <w:divBdr>
        <w:top w:val="none" w:sz="0" w:space="0" w:color="auto"/>
        <w:left w:val="none" w:sz="0" w:space="0" w:color="auto"/>
        <w:bottom w:val="none" w:sz="0" w:space="0" w:color="auto"/>
        <w:right w:val="none" w:sz="0" w:space="0" w:color="auto"/>
      </w:divBdr>
    </w:div>
    <w:div w:id="1567571829">
      <w:bodyDiv w:val="1"/>
      <w:marLeft w:val="0"/>
      <w:marRight w:val="0"/>
      <w:marTop w:val="0"/>
      <w:marBottom w:val="0"/>
      <w:divBdr>
        <w:top w:val="none" w:sz="0" w:space="0" w:color="auto"/>
        <w:left w:val="none" w:sz="0" w:space="0" w:color="auto"/>
        <w:bottom w:val="none" w:sz="0" w:space="0" w:color="auto"/>
        <w:right w:val="none" w:sz="0" w:space="0" w:color="auto"/>
      </w:divBdr>
    </w:div>
    <w:div w:id="1625958726">
      <w:bodyDiv w:val="1"/>
      <w:marLeft w:val="0"/>
      <w:marRight w:val="0"/>
      <w:marTop w:val="0"/>
      <w:marBottom w:val="0"/>
      <w:divBdr>
        <w:top w:val="none" w:sz="0" w:space="0" w:color="auto"/>
        <w:left w:val="none" w:sz="0" w:space="0" w:color="auto"/>
        <w:bottom w:val="none" w:sz="0" w:space="0" w:color="auto"/>
        <w:right w:val="none" w:sz="0" w:space="0" w:color="auto"/>
      </w:divBdr>
    </w:div>
    <w:div w:id="1626422095">
      <w:bodyDiv w:val="1"/>
      <w:marLeft w:val="0"/>
      <w:marRight w:val="0"/>
      <w:marTop w:val="0"/>
      <w:marBottom w:val="0"/>
      <w:divBdr>
        <w:top w:val="none" w:sz="0" w:space="0" w:color="auto"/>
        <w:left w:val="none" w:sz="0" w:space="0" w:color="auto"/>
        <w:bottom w:val="none" w:sz="0" w:space="0" w:color="auto"/>
        <w:right w:val="none" w:sz="0" w:space="0" w:color="auto"/>
      </w:divBdr>
    </w:div>
    <w:div w:id="1630087109">
      <w:bodyDiv w:val="1"/>
      <w:marLeft w:val="0"/>
      <w:marRight w:val="0"/>
      <w:marTop w:val="0"/>
      <w:marBottom w:val="0"/>
      <w:divBdr>
        <w:top w:val="none" w:sz="0" w:space="0" w:color="auto"/>
        <w:left w:val="none" w:sz="0" w:space="0" w:color="auto"/>
        <w:bottom w:val="none" w:sz="0" w:space="0" w:color="auto"/>
        <w:right w:val="none" w:sz="0" w:space="0" w:color="auto"/>
      </w:divBdr>
    </w:div>
    <w:div w:id="1637952986">
      <w:bodyDiv w:val="1"/>
      <w:marLeft w:val="0"/>
      <w:marRight w:val="0"/>
      <w:marTop w:val="0"/>
      <w:marBottom w:val="0"/>
      <w:divBdr>
        <w:top w:val="none" w:sz="0" w:space="0" w:color="auto"/>
        <w:left w:val="none" w:sz="0" w:space="0" w:color="auto"/>
        <w:bottom w:val="none" w:sz="0" w:space="0" w:color="auto"/>
        <w:right w:val="none" w:sz="0" w:space="0" w:color="auto"/>
      </w:divBdr>
    </w:div>
    <w:div w:id="1732924618">
      <w:bodyDiv w:val="1"/>
      <w:marLeft w:val="0"/>
      <w:marRight w:val="0"/>
      <w:marTop w:val="0"/>
      <w:marBottom w:val="0"/>
      <w:divBdr>
        <w:top w:val="none" w:sz="0" w:space="0" w:color="auto"/>
        <w:left w:val="none" w:sz="0" w:space="0" w:color="auto"/>
        <w:bottom w:val="none" w:sz="0" w:space="0" w:color="auto"/>
        <w:right w:val="none" w:sz="0" w:space="0" w:color="auto"/>
      </w:divBdr>
    </w:div>
    <w:div w:id="1759718192">
      <w:bodyDiv w:val="1"/>
      <w:marLeft w:val="0"/>
      <w:marRight w:val="0"/>
      <w:marTop w:val="0"/>
      <w:marBottom w:val="0"/>
      <w:divBdr>
        <w:top w:val="none" w:sz="0" w:space="0" w:color="auto"/>
        <w:left w:val="none" w:sz="0" w:space="0" w:color="auto"/>
        <w:bottom w:val="none" w:sz="0" w:space="0" w:color="auto"/>
        <w:right w:val="none" w:sz="0" w:space="0" w:color="auto"/>
      </w:divBdr>
    </w:div>
    <w:div w:id="1789810240">
      <w:bodyDiv w:val="1"/>
      <w:marLeft w:val="0"/>
      <w:marRight w:val="0"/>
      <w:marTop w:val="0"/>
      <w:marBottom w:val="0"/>
      <w:divBdr>
        <w:top w:val="none" w:sz="0" w:space="0" w:color="auto"/>
        <w:left w:val="none" w:sz="0" w:space="0" w:color="auto"/>
        <w:bottom w:val="none" w:sz="0" w:space="0" w:color="auto"/>
        <w:right w:val="none" w:sz="0" w:space="0" w:color="auto"/>
      </w:divBdr>
    </w:div>
    <w:div w:id="1809514561">
      <w:bodyDiv w:val="1"/>
      <w:marLeft w:val="0"/>
      <w:marRight w:val="0"/>
      <w:marTop w:val="0"/>
      <w:marBottom w:val="0"/>
      <w:divBdr>
        <w:top w:val="none" w:sz="0" w:space="0" w:color="auto"/>
        <w:left w:val="none" w:sz="0" w:space="0" w:color="auto"/>
        <w:bottom w:val="none" w:sz="0" w:space="0" w:color="auto"/>
        <w:right w:val="none" w:sz="0" w:space="0" w:color="auto"/>
      </w:divBdr>
    </w:div>
    <w:div w:id="1826821289">
      <w:bodyDiv w:val="1"/>
      <w:marLeft w:val="0"/>
      <w:marRight w:val="0"/>
      <w:marTop w:val="0"/>
      <w:marBottom w:val="0"/>
      <w:divBdr>
        <w:top w:val="none" w:sz="0" w:space="0" w:color="auto"/>
        <w:left w:val="none" w:sz="0" w:space="0" w:color="auto"/>
        <w:bottom w:val="none" w:sz="0" w:space="0" w:color="auto"/>
        <w:right w:val="none" w:sz="0" w:space="0" w:color="auto"/>
      </w:divBdr>
    </w:div>
    <w:div w:id="1860460648">
      <w:bodyDiv w:val="1"/>
      <w:marLeft w:val="0"/>
      <w:marRight w:val="0"/>
      <w:marTop w:val="0"/>
      <w:marBottom w:val="0"/>
      <w:divBdr>
        <w:top w:val="none" w:sz="0" w:space="0" w:color="auto"/>
        <w:left w:val="none" w:sz="0" w:space="0" w:color="auto"/>
        <w:bottom w:val="none" w:sz="0" w:space="0" w:color="auto"/>
        <w:right w:val="none" w:sz="0" w:space="0" w:color="auto"/>
      </w:divBdr>
    </w:div>
    <w:div w:id="1895962914">
      <w:bodyDiv w:val="1"/>
      <w:marLeft w:val="0"/>
      <w:marRight w:val="0"/>
      <w:marTop w:val="0"/>
      <w:marBottom w:val="0"/>
      <w:divBdr>
        <w:top w:val="none" w:sz="0" w:space="0" w:color="auto"/>
        <w:left w:val="none" w:sz="0" w:space="0" w:color="auto"/>
        <w:bottom w:val="none" w:sz="0" w:space="0" w:color="auto"/>
        <w:right w:val="none" w:sz="0" w:space="0" w:color="auto"/>
      </w:divBdr>
    </w:div>
    <w:div w:id="1901944198">
      <w:bodyDiv w:val="1"/>
      <w:marLeft w:val="0"/>
      <w:marRight w:val="0"/>
      <w:marTop w:val="0"/>
      <w:marBottom w:val="0"/>
      <w:divBdr>
        <w:top w:val="none" w:sz="0" w:space="0" w:color="auto"/>
        <w:left w:val="none" w:sz="0" w:space="0" w:color="auto"/>
        <w:bottom w:val="none" w:sz="0" w:space="0" w:color="auto"/>
        <w:right w:val="none" w:sz="0" w:space="0" w:color="auto"/>
      </w:divBdr>
    </w:div>
    <w:div w:id="1934820662">
      <w:bodyDiv w:val="1"/>
      <w:marLeft w:val="0"/>
      <w:marRight w:val="0"/>
      <w:marTop w:val="0"/>
      <w:marBottom w:val="0"/>
      <w:divBdr>
        <w:top w:val="none" w:sz="0" w:space="0" w:color="auto"/>
        <w:left w:val="none" w:sz="0" w:space="0" w:color="auto"/>
        <w:bottom w:val="none" w:sz="0" w:space="0" w:color="auto"/>
        <w:right w:val="none" w:sz="0" w:space="0" w:color="auto"/>
      </w:divBdr>
    </w:div>
    <w:div w:id="2011130281">
      <w:bodyDiv w:val="1"/>
      <w:marLeft w:val="0"/>
      <w:marRight w:val="0"/>
      <w:marTop w:val="0"/>
      <w:marBottom w:val="0"/>
      <w:divBdr>
        <w:top w:val="none" w:sz="0" w:space="0" w:color="auto"/>
        <w:left w:val="none" w:sz="0" w:space="0" w:color="auto"/>
        <w:bottom w:val="none" w:sz="0" w:space="0" w:color="auto"/>
        <w:right w:val="none" w:sz="0" w:space="0" w:color="auto"/>
      </w:divBdr>
    </w:div>
    <w:div w:id="2102219019">
      <w:bodyDiv w:val="1"/>
      <w:marLeft w:val="0"/>
      <w:marRight w:val="0"/>
      <w:marTop w:val="0"/>
      <w:marBottom w:val="0"/>
      <w:divBdr>
        <w:top w:val="none" w:sz="0" w:space="0" w:color="auto"/>
        <w:left w:val="none" w:sz="0" w:space="0" w:color="auto"/>
        <w:bottom w:val="none" w:sz="0" w:space="0" w:color="auto"/>
        <w:right w:val="none" w:sz="0" w:space="0" w:color="auto"/>
      </w:divBdr>
    </w:div>
    <w:div w:id="21157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967FFD48C64DCB92D0E062611EC372"/>
        <w:category>
          <w:name w:val="General"/>
          <w:gallery w:val="placeholder"/>
        </w:category>
        <w:types>
          <w:type w:val="bbPlcHdr"/>
        </w:types>
        <w:behaviors>
          <w:behavior w:val="content"/>
        </w:behaviors>
        <w:guid w:val="{847952A9-7F63-4228-A8BB-55D71F3860A4}"/>
      </w:docPartPr>
      <w:docPartBody>
        <w:p w:rsidR="00C4043C" w:rsidRDefault="00E04BD4" w:rsidP="00E04BD4">
          <w:pPr>
            <w:pStyle w:val="76967FFD48C64DCB92D0E062611EC37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altName w:val="Calibri"/>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E04BD4"/>
    <w:rsid w:val="000A3BCC"/>
    <w:rsid w:val="000B37B2"/>
    <w:rsid w:val="00110AC9"/>
    <w:rsid w:val="00116A60"/>
    <w:rsid w:val="00365FF5"/>
    <w:rsid w:val="00425C4F"/>
    <w:rsid w:val="004F146D"/>
    <w:rsid w:val="007E5533"/>
    <w:rsid w:val="009358A7"/>
    <w:rsid w:val="009D457B"/>
    <w:rsid w:val="00C4043C"/>
    <w:rsid w:val="00DA4533"/>
    <w:rsid w:val="00DB6670"/>
    <w:rsid w:val="00E04BD4"/>
    <w:rsid w:val="00E671FC"/>
    <w:rsid w:val="00ED3D39"/>
    <w:rsid w:val="00FE49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67FFD48C64DCB92D0E062611EC372">
    <w:name w:val="76967FFD48C64DCB92D0E062611EC372"/>
    <w:rsid w:val="00E04BD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83CC-F31A-4F20-89F5-A7331A1F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Παράρτημα Ια</vt:lpstr>
    </vt:vector>
  </TitlesOfParts>
  <Company>Deloitte Touche Tohmatsu Services, Inc.</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Ια</dc:title>
  <dc:creator>Georgiou, Michalis (CY - Nicosia)</dc:creator>
  <cp:lastModifiedBy>ΜΧ</cp:lastModifiedBy>
  <cp:revision>2</cp:revision>
  <cp:lastPrinted>2018-06-12T11:43:00Z</cp:lastPrinted>
  <dcterms:created xsi:type="dcterms:W3CDTF">2019-05-24T12:34:00Z</dcterms:created>
  <dcterms:modified xsi:type="dcterms:W3CDTF">2019-05-24T12:34:00Z</dcterms:modified>
</cp:coreProperties>
</file>